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D295" w14:textId="1AEBA6D9" w:rsidR="00C439A8" w:rsidRPr="00C439A8" w:rsidRDefault="00C439A8" w:rsidP="00C439A8">
      <w:pPr>
        <w:pStyle w:val="Heading10"/>
        <w:spacing w:before="83" w:line="242" w:lineRule="auto"/>
        <w:ind w:left="527" w:right="-28" w:firstLine="0"/>
        <w:jc w:val="center"/>
      </w:pPr>
      <w:r w:rsidRPr="00C439A8">
        <w:t xml:space="preserve">Characteristics </w:t>
      </w:r>
      <w:r>
        <w:rPr>
          <w:lang w:val="id-ID"/>
        </w:rPr>
        <w:t>o</w:t>
      </w:r>
      <w:r w:rsidRPr="00C439A8">
        <w:t>f Citizenship</w:t>
      </w:r>
      <w:r w:rsidR="00EA6A29">
        <w:t xml:space="preserve">: Digital </w:t>
      </w:r>
      <w:r w:rsidRPr="00C439A8">
        <w:t xml:space="preserve">Access </w:t>
      </w:r>
      <w:r>
        <w:rPr>
          <w:lang w:val="id-ID"/>
        </w:rPr>
        <w:t>a</w:t>
      </w:r>
      <w:r w:rsidRPr="00C439A8">
        <w:t xml:space="preserve">nd </w:t>
      </w:r>
      <w:r w:rsidR="00EA6A29">
        <w:t xml:space="preserve"> Digital </w:t>
      </w:r>
      <w:r w:rsidRPr="00C439A8">
        <w:t>Literacy</w:t>
      </w:r>
      <w:r>
        <w:rPr>
          <w:lang w:val="id-ID"/>
        </w:rPr>
        <w:t xml:space="preserve"> </w:t>
      </w:r>
      <w:r w:rsidRPr="00C439A8">
        <w:t xml:space="preserve">Civic Education Teacher  </w:t>
      </w:r>
      <w:r>
        <w:rPr>
          <w:lang w:val="id-ID"/>
        </w:rPr>
        <w:t>i</w:t>
      </w:r>
      <w:r w:rsidRPr="00C439A8">
        <w:t>n Surabaya City</w:t>
      </w:r>
    </w:p>
    <w:p w14:paraId="3ADB28DC" w14:textId="77777777" w:rsidR="00C439A8" w:rsidRPr="00C439A8" w:rsidRDefault="00C439A8" w:rsidP="00C439A8">
      <w:pPr>
        <w:pStyle w:val="p1a"/>
      </w:pPr>
    </w:p>
    <w:p w14:paraId="2986C8F4" w14:textId="7B8533A4" w:rsidR="00552A7B" w:rsidRPr="00EA6A29" w:rsidRDefault="00C439A8" w:rsidP="00C439A8">
      <w:pPr>
        <w:jc w:val="center"/>
      </w:pPr>
      <w:r w:rsidRPr="00C439A8">
        <w:t>Harmanto</w:t>
      </w:r>
      <w:r w:rsidR="005078A9">
        <w:rPr>
          <w:vertAlign w:val="superscript"/>
          <w:lang w:val="id-ID"/>
        </w:rPr>
        <w:t>1</w:t>
      </w:r>
      <w:r>
        <w:rPr>
          <w:lang w:val="id-ID"/>
        </w:rPr>
        <w:t xml:space="preserve">, </w:t>
      </w:r>
      <w:r w:rsidRPr="00C439A8">
        <w:t>Rr Nanik Setyowati</w:t>
      </w:r>
      <w:r w:rsidR="005078A9">
        <w:rPr>
          <w:vertAlign w:val="superscript"/>
          <w:lang w:val="id-ID"/>
        </w:rPr>
        <w:t>1</w:t>
      </w:r>
      <w:r>
        <w:rPr>
          <w:lang w:val="id-ID"/>
        </w:rPr>
        <w:t>, Listyaningsih</w:t>
      </w:r>
      <w:r w:rsidR="005078A9">
        <w:rPr>
          <w:vertAlign w:val="superscript"/>
          <w:lang w:val="id-ID"/>
        </w:rPr>
        <w:t>1</w:t>
      </w:r>
      <w:r>
        <w:rPr>
          <w:lang w:val="id-ID"/>
        </w:rPr>
        <w:t>,</w:t>
      </w:r>
      <w:r>
        <w:rPr>
          <w:vertAlign w:val="superscript"/>
        </w:rPr>
        <w:t xml:space="preserve"> </w:t>
      </w:r>
      <w:r>
        <w:rPr>
          <w:lang w:val="id-ID"/>
        </w:rPr>
        <w:t>Wahyudi</w:t>
      </w:r>
      <w:r w:rsidR="005078A9">
        <w:rPr>
          <w:vertAlign w:val="superscript"/>
          <w:lang w:val="id-ID"/>
        </w:rPr>
        <w:t>1</w:t>
      </w:r>
      <w:r w:rsidR="00EA6A29">
        <w:t>,</w:t>
      </w:r>
      <w:r w:rsidR="005078A9">
        <w:rPr>
          <w:lang w:val="id-ID"/>
        </w:rPr>
        <w:t xml:space="preserve"> </w:t>
      </w:r>
      <w:r w:rsidR="00EA6A29">
        <w:t>Arju Wijiono</w:t>
      </w:r>
      <w:r w:rsidR="005078A9">
        <w:rPr>
          <w:vertAlign w:val="superscript"/>
          <w:lang w:val="id-ID"/>
        </w:rPr>
        <w:t>1</w:t>
      </w:r>
      <w:r w:rsidR="00EA6A29">
        <w:t>,</w:t>
      </w:r>
      <w:r w:rsidR="005078A9">
        <w:rPr>
          <w:lang w:val="id-ID"/>
        </w:rPr>
        <w:t xml:space="preserve"> </w:t>
      </w:r>
      <w:r w:rsidR="00EA6A29">
        <w:t>Azila Nurul Fitria</w:t>
      </w:r>
      <w:r w:rsidR="005078A9">
        <w:rPr>
          <w:vertAlign w:val="superscript"/>
          <w:lang w:val="id-ID"/>
        </w:rPr>
        <w:t>1</w:t>
      </w:r>
    </w:p>
    <w:p w14:paraId="32D7FA81" w14:textId="0DAA1BF1" w:rsidR="00552A7B" w:rsidRDefault="00552A7B" w:rsidP="00D64B90">
      <w:pPr>
        <w:spacing w:before="1"/>
        <w:ind w:left="525" w:right="-28"/>
        <w:jc w:val="center"/>
        <w:rPr>
          <w:sz w:val="18"/>
        </w:rPr>
      </w:pPr>
      <w:r>
        <w:rPr>
          <w:spacing w:val="-1"/>
          <w:sz w:val="18"/>
          <w:vertAlign w:val="superscript"/>
        </w:rPr>
        <w:t xml:space="preserve">1 </w:t>
      </w:r>
      <w:r>
        <w:rPr>
          <w:spacing w:val="-1"/>
          <w:sz w:val="18"/>
          <w:lang w:val="id-ID"/>
        </w:rPr>
        <w:t xml:space="preserve"> State University of </w:t>
      </w:r>
      <w:r>
        <w:rPr>
          <w:sz w:val="18"/>
        </w:rPr>
        <w:t>Surabaya,</w:t>
      </w:r>
      <w:r>
        <w:rPr>
          <w:spacing w:val="-9"/>
          <w:sz w:val="18"/>
        </w:rPr>
        <w:t xml:space="preserve"> </w:t>
      </w:r>
      <w:r>
        <w:rPr>
          <w:sz w:val="18"/>
        </w:rPr>
        <w:t>Surabaya,</w:t>
      </w:r>
      <w:r>
        <w:rPr>
          <w:spacing w:val="-9"/>
          <w:sz w:val="18"/>
        </w:rPr>
        <w:t xml:space="preserve"> </w:t>
      </w:r>
      <w:r>
        <w:rPr>
          <w:sz w:val="18"/>
        </w:rPr>
        <w:t>Indonesia</w:t>
      </w:r>
    </w:p>
    <w:p w14:paraId="54353FA2" w14:textId="6B5A9508" w:rsidR="00C439A8" w:rsidRPr="005078A9" w:rsidRDefault="005078A9" w:rsidP="005078A9">
      <w:pPr>
        <w:pStyle w:val="address"/>
        <w:rPr>
          <w:rStyle w:val="e-mail"/>
        </w:rPr>
      </w:pPr>
      <w:hyperlink r:id="rId9" w:history="1">
        <w:r w:rsidRPr="005078A9">
          <w:rPr>
            <w:rStyle w:val="e-mail"/>
          </w:rPr>
          <w:t>harmanto@unesa.ac.id</w:t>
        </w:r>
      </w:hyperlink>
    </w:p>
    <w:p w14:paraId="0323FE60" w14:textId="404EEF99" w:rsidR="00C439A8" w:rsidRDefault="009B2539" w:rsidP="00C439A8">
      <w:pPr>
        <w:pStyle w:val="abstract"/>
        <w:spacing w:after="0"/>
        <w:ind w:firstLine="0"/>
        <w:rPr>
          <w:szCs w:val="18"/>
        </w:rPr>
      </w:pPr>
      <w:r w:rsidRPr="00EE426C">
        <w:rPr>
          <w:b/>
          <w:bCs/>
        </w:rPr>
        <w:t xml:space="preserve">Abstract. </w:t>
      </w:r>
      <w:r w:rsidR="00EA6A29">
        <w:rPr>
          <w:szCs w:val="18"/>
        </w:rPr>
        <w:t>Digital citizenship has become a fascinating topic in recent years</w:t>
      </w:r>
      <w:r w:rsidR="00C439A8" w:rsidRPr="00ED1AC9">
        <w:rPr>
          <w:szCs w:val="18"/>
        </w:rPr>
        <w:t xml:space="preserve">, especially for those engaged in Civic Education. For teachers, digital access is in the form of connectivity and interaction with wider learners; </w:t>
      </w:r>
      <w:r w:rsidR="00EA6A29">
        <w:rPr>
          <w:szCs w:val="18"/>
        </w:rPr>
        <w:t xml:space="preserve">it </w:t>
      </w:r>
      <w:r w:rsidR="00C439A8" w:rsidRPr="00ED1AC9">
        <w:rPr>
          <w:szCs w:val="18"/>
        </w:rPr>
        <w:t xml:space="preserve">affects the degree of exchange of information capable of crossing the boundaries of place, time, and age. For civic teachers,  digitalization of learning will improve learning effectiveness, processes, and outcomes. The rapid development of digital learning encourages education personnel, including teachers and other human resources, to be ready to face change and ready to change. Teachers need to obtain information to </w:t>
      </w:r>
      <w:r w:rsidR="00EA6A29">
        <w:rPr>
          <w:szCs w:val="18"/>
        </w:rPr>
        <w:t>better</w:t>
      </w:r>
      <w:r w:rsidR="00C439A8" w:rsidRPr="00ED1AC9">
        <w:rPr>
          <w:szCs w:val="18"/>
        </w:rPr>
        <w:t xml:space="preserve"> appreciate life and contribute to life, especially for the world of education and the nation's progress. The focus of this study is to analyze the characteristics of Civic Education teachers in terms of digital access and digital litera</w:t>
      </w:r>
      <w:r w:rsidR="00C439A8">
        <w:rPr>
          <w:szCs w:val="18"/>
        </w:rPr>
        <w:t>cy</w:t>
      </w:r>
      <w:r w:rsidR="00C439A8" w:rsidRPr="00ED1AC9">
        <w:rPr>
          <w:szCs w:val="18"/>
        </w:rPr>
        <w:t xml:space="preserve"> in the city of Surabaya. The </w:t>
      </w:r>
      <w:r w:rsidR="00C439A8" w:rsidRPr="00C439A8">
        <w:rPr>
          <w:szCs w:val="18"/>
          <w:lang w:val="id"/>
        </w:rPr>
        <w:t>results</w:t>
      </w:r>
      <w:r w:rsidR="00C439A8" w:rsidRPr="00ED1AC9">
        <w:rPr>
          <w:szCs w:val="18"/>
        </w:rPr>
        <w:t xml:space="preserve"> of this study show that Pancasila and Civic Education teachers in the city of Surabaya have been able to access the internet and have</w:t>
      </w:r>
      <w:r w:rsidR="00C439A8">
        <w:rPr>
          <w:szCs w:val="18"/>
        </w:rPr>
        <w:t xml:space="preserve"> </w:t>
      </w:r>
      <w:r w:rsidR="00C439A8" w:rsidRPr="00ED1AC9">
        <w:rPr>
          <w:szCs w:val="18"/>
        </w:rPr>
        <w:t>digital litera</w:t>
      </w:r>
      <w:r w:rsidR="00C439A8">
        <w:rPr>
          <w:szCs w:val="18"/>
        </w:rPr>
        <w:t>cy</w:t>
      </w:r>
      <w:r w:rsidR="00C439A8" w:rsidRPr="00ED1AC9">
        <w:rPr>
          <w:szCs w:val="18"/>
        </w:rPr>
        <w:t xml:space="preserve"> knowledge for the benefit of classroom learning by using various learning resources for citizenship education.</w:t>
      </w:r>
    </w:p>
    <w:p w14:paraId="02D01376" w14:textId="77777777" w:rsidR="00C439A8" w:rsidRDefault="00C439A8" w:rsidP="00C439A8">
      <w:pPr>
        <w:pStyle w:val="abstract"/>
        <w:spacing w:after="0"/>
        <w:ind w:firstLine="0"/>
      </w:pPr>
    </w:p>
    <w:p w14:paraId="686414C6" w14:textId="6F40BA99" w:rsidR="00C439A8" w:rsidRPr="00C439A8" w:rsidRDefault="00C439A8" w:rsidP="00C439A8">
      <w:pPr>
        <w:pStyle w:val="abstract"/>
        <w:spacing w:after="0"/>
        <w:ind w:firstLine="0"/>
        <w:rPr>
          <w:szCs w:val="18"/>
        </w:rPr>
      </w:pPr>
      <w:r w:rsidRPr="00C439A8">
        <w:rPr>
          <w:b/>
          <w:bCs/>
          <w:lang w:val="id-ID"/>
        </w:rPr>
        <w:t>Ke</w:t>
      </w:r>
      <w:r w:rsidRPr="00C439A8">
        <w:rPr>
          <w:b/>
          <w:bCs/>
        </w:rPr>
        <w:t>ywords</w:t>
      </w:r>
      <w:r>
        <w:rPr>
          <w:lang w:val="id-ID"/>
        </w:rPr>
        <w:t>:</w:t>
      </w:r>
      <w:r w:rsidRPr="003969F5">
        <w:rPr>
          <w:i/>
          <w:szCs w:val="18"/>
        </w:rPr>
        <w:t xml:space="preserve"> </w:t>
      </w:r>
      <w:r w:rsidRPr="00C439A8">
        <w:rPr>
          <w:szCs w:val="18"/>
        </w:rPr>
        <w:t>Digital Access, Digital Literacy, Teacher, Civic Education</w:t>
      </w:r>
    </w:p>
    <w:p w14:paraId="533824BB" w14:textId="77777777" w:rsidR="00552A7B" w:rsidRDefault="00552A7B" w:rsidP="00552A7B">
      <w:pPr>
        <w:pStyle w:val="Heading10"/>
        <w:numPr>
          <w:ilvl w:val="0"/>
          <w:numId w:val="11"/>
        </w:numPr>
        <w:tabs>
          <w:tab w:val="num" w:pos="227"/>
        </w:tabs>
        <w:ind w:left="227" w:right="419" w:hanging="227"/>
      </w:pPr>
      <w:bookmarkStart w:id="0" w:name="1_Introduction"/>
      <w:bookmarkEnd w:id="0"/>
      <w:r>
        <w:t>Introduction</w:t>
      </w:r>
    </w:p>
    <w:p w14:paraId="6308605C" w14:textId="416BAC20" w:rsidR="004F7988" w:rsidRPr="003969F5" w:rsidRDefault="004F7988" w:rsidP="004F7988">
      <w:pPr>
        <w:ind w:firstLine="567"/>
      </w:pPr>
      <w:r w:rsidRPr="003969F5">
        <w:t xml:space="preserve">Today's digitalization of learning is nothing new in Indonesia. An era where information can spread quickly with digital-based technology. In the education sector, digital applications are still limited and not optimal. However, the </w:t>
      </w:r>
      <w:r w:rsidR="00EA6A29">
        <w:t>COVID-19</w:t>
      </w:r>
      <w:r w:rsidRPr="003969F5">
        <w:t xml:space="preserve"> pandemic, which has been less than two years old, has accelerated the transformation of digital-based education. Teachers as part of the education system are required to be able to be proficient in following digital developments in the learning process, including teachers of Civic Education</w:t>
      </w:r>
      <w:r>
        <w:t xml:space="preserve">. </w:t>
      </w:r>
      <w:r w:rsidRPr="003969F5">
        <w:t xml:space="preserve">Surabaya City the second largest city in Indonesia is certainly one of the national barometers related to </w:t>
      </w:r>
      <w:r w:rsidRPr="005B7160">
        <w:rPr>
          <w:i/>
          <w:iCs/>
        </w:rPr>
        <w:t>digitally literate</w:t>
      </w:r>
      <w:r>
        <w:t xml:space="preserve"> citizens </w:t>
      </w:r>
      <w:r w:rsidRPr="003969F5">
        <w:t>as a representation of digital citizenship.</w:t>
      </w:r>
      <w:r w:rsidR="00540DE3">
        <w:fldChar w:fldCharType="begin" w:fldLock="1"/>
      </w:r>
      <w:r w:rsidR="00540DE3">
        <w:instrText>ADDIN CSL_CITATION {"citationItems":[{"id":"ITEM-1","itemData":{"author":[{"dropping-particle":"","family":"Sulfemi","given":"Wahyu Bagja","non-dropping-particle":"","parse-names":false,"suffix":""}],"container-title":"Jurnal PIPSI","id":"ITEM-1","issue":"1","issued":{"date-parts":[["2021"]]},"page":"13-19","title":"Model Pembelajaran Kooperatif Mind Mapping Berbantu Audio Visual dalam Meningkatkan Minat, Motivasi, dan Hasil Belajar IPS","type":"article-journal","volume":"4"},"uris":["http://www.mendeley.com/documents/?uuid=ee31ab36-de1a-4597-a915-34622449e0cd"]}],"mendeley":{"formattedCitation":"[1]","plainTextFormattedCitation":"[1]","previouslyFormattedCitation":"[1]"},"properties":{"noteIndex":0},"schema":"https://github.com/citation-style-language/schema/raw/master/csl-citation.json"}</w:instrText>
      </w:r>
      <w:r w:rsidR="00540DE3">
        <w:fldChar w:fldCharType="separate"/>
      </w:r>
      <w:r w:rsidR="00540DE3" w:rsidRPr="00540DE3">
        <w:rPr>
          <w:noProof/>
        </w:rPr>
        <w:t>[1]</w:t>
      </w:r>
      <w:r w:rsidR="00540DE3">
        <w:fldChar w:fldCharType="end"/>
      </w:r>
    </w:p>
    <w:p w14:paraId="53659DB6" w14:textId="52E0330F" w:rsidR="004F7988" w:rsidRDefault="0008228A" w:rsidP="004F7988">
      <w:pPr>
        <w:ind w:firstLine="567"/>
      </w:pPr>
      <w:r>
        <w:rPr>
          <w:lang w:val="id-ID"/>
        </w:rPr>
        <w:t>D</w:t>
      </w:r>
      <w:r w:rsidR="004F7988" w:rsidRPr="003969F5">
        <w:t>igital citizenship is a means that can help teachers, parents</w:t>
      </w:r>
      <w:r w:rsidR="004F7988">
        <w:t>,</w:t>
      </w:r>
      <w:r w:rsidR="004F7988" w:rsidRPr="003969F5">
        <w:t xml:space="preserve"> or anyone else in </w:t>
      </w:r>
      <w:r w:rsidR="004F7988">
        <w:t>using</w:t>
      </w:r>
      <w:r w:rsidR="004F7988" w:rsidRPr="003969F5">
        <w:t xml:space="preserve"> technology for daily interests and </w:t>
      </w:r>
      <w:r w:rsidR="00EA6A29">
        <w:t xml:space="preserve">is </w:t>
      </w:r>
      <w:r w:rsidR="004F7988" w:rsidRPr="003969F5">
        <w:t>used appropriately. If it is not done reasonably, it can lead to dependence. Meanwhile, according to, the concept of digital citizenship is those who often use technology to obtain political information to fulfill their civic duties, and who use technology in the workplace for economic gain.</w:t>
      </w:r>
      <w:r w:rsidR="00540DE3">
        <w:fldChar w:fldCharType="begin" w:fldLock="1"/>
      </w:r>
      <w:r w:rsidR="00540DE3">
        <w:instrText>ADDIN CSL_CITATION {"citationItems":[{"id":"ITEM-1","itemData":{"author":[{"dropping-particle":"","family":"Farren","given":"Patrick","non-dropping-particle":"","parse-names":false,"suffix":""}],"id":"ITEM-1","issued":{"date-parts":[["2015"]]},"title":"Transformative Pedagogy","type":"article-journal","volume":"00"},"uris":["http://www.mendeley.com/documents/?uuid=27e23e10-0cb0-4694-bcf3-79888aff0ea7"]}],"mendeley":{"formattedCitation":"[2]","plainTextFormattedCitation":"[2]","previouslyFormattedCitation":"[2]"},"properties":{"noteIndex":0},"schema":"https://github.com/citation-style-language/schema/raw/master/csl-citation.json"}</w:instrText>
      </w:r>
      <w:r w:rsidR="00540DE3">
        <w:fldChar w:fldCharType="separate"/>
      </w:r>
      <w:r w:rsidR="00540DE3" w:rsidRPr="00540DE3">
        <w:rPr>
          <w:noProof/>
        </w:rPr>
        <w:t>[2]</w:t>
      </w:r>
      <w:r w:rsidR="00540DE3">
        <w:fldChar w:fldCharType="end"/>
      </w:r>
      <w:r w:rsidR="004F7988" w:rsidRPr="003969F5">
        <w:t xml:space="preserve"> </w:t>
      </w:r>
    </w:p>
    <w:p w14:paraId="7C60255B" w14:textId="51004578" w:rsidR="004F7988" w:rsidRPr="006B231F" w:rsidRDefault="004F7988" w:rsidP="004F7988">
      <w:pPr>
        <w:ind w:firstLine="567"/>
        <w:rPr>
          <w:lang w:val="id-ID"/>
        </w:rPr>
      </w:pPr>
      <w:r w:rsidRPr="003969F5">
        <w:lastRenderedPageBreak/>
        <w:t xml:space="preserve">Furthermore, </w:t>
      </w:r>
      <w:r w:rsidR="00EA6A29">
        <w:t xml:space="preserve">Purbasari </w:t>
      </w:r>
      <w:r w:rsidRPr="003969F5">
        <w:t xml:space="preserve">stated that there are 9 components or aspects of digital citizenship, including the following </w:t>
      </w:r>
      <w:r w:rsidRPr="00FF5060">
        <w:t>digital citizenship</w:t>
      </w:r>
      <w:r>
        <w:t xml:space="preserve">. </w:t>
      </w:r>
      <w:r w:rsidRPr="003969F5">
        <w:t xml:space="preserve">(1) Digital access, namely to become a digital citizen, </w:t>
      </w:r>
      <w:r>
        <w:t>several</w:t>
      </w:r>
      <w:r w:rsidRPr="003969F5">
        <w:t xml:space="preserve"> factors affect the digital access a person has, such as social and economic status, domicile or residence, and so on. An example of digital access is a school that facilitates students and teachers to connect with the digital world, through the provision of computers and internet access. (2) Digital trading activities make it easier for humans to transact. Even so, this activity needs to be carried out wisely and carefully. Because </w:t>
      </w:r>
      <w:r>
        <w:t>crimes likely occur</w:t>
      </w:r>
      <w:r w:rsidRPr="003969F5">
        <w:t xml:space="preserve">. For example, misuse of personal data, such as debit and credit cards to buy goods online, the rise of pornographic content, online gambling, drug transactions, and </w:t>
      </w:r>
      <w:r w:rsidRPr="00FF5060">
        <w:t>online</w:t>
      </w:r>
      <w:r>
        <w:t xml:space="preserve"> fraud</w:t>
      </w:r>
      <w:r w:rsidRPr="003969F5">
        <w:t>. (3) Digital litera</w:t>
      </w:r>
      <w:r>
        <w:t>cy</w:t>
      </w:r>
      <w:r w:rsidRPr="003969F5">
        <w:t xml:space="preserve">, for example, literature on how to use </w:t>
      </w:r>
      <w:r w:rsidRPr="005B7160">
        <w:rPr>
          <w:i/>
          <w:iCs/>
        </w:rPr>
        <w:t>Google Chrome</w:t>
      </w:r>
      <w:r w:rsidRPr="003969F5">
        <w:t xml:space="preserve"> as a means of searching for information. (4) Digital ethics is a way of communicating something through information technology media </w:t>
      </w:r>
      <w:r>
        <w:t>by</w:t>
      </w:r>
      <w:r w:rsidRPr="003969F5">
        <w:t xml:space="preserve"> applicable ethics. (5) Digital law is used to anticipate the occurrence of unwanted things in the digital world. (6) Digital rights and obligations are a set of rights and obligations that digital users have when using information and communication technology. (7) Digital health, namely excessive use of digital media can be bad for one's health. (8) Digital security where digital citizens must strive to protect their data, such as digital assets and personal identity. Examples of this digital citizenship component are routinely changing email passwords</w:t>
      </w:r>
      <w:r>
        <w:t xml:space="preserve">, </w:t>
      </w:r>
      <w:r w:rsidRPr="005B7160">
        <w:rPr>
          <w:i/>
          <w:iCs/>
        </w:rPr>
        <w:t>backing up</w:t>
      </w:r>
      <w:r w:rsidRPr="003969F5">
        <w:t xml:space="preserve"> data, and avoiding opening suspicious or unofficial sites</w:t>
      </w:r>
      <w:r w:rsidR="006B231F">
        <w:rPr>
          <w:lang w:val="id-ID"/>
        </w:rPr>
        <w:t>.</w:t>
      </w:r>
      <w:r w:rsidR="00540DE3">
        <w:rPr>
          <w:lang w:val="id-ID"/>
        </w:rPr>
        <w:fldChar w:fldCharType="begin" w:fldLock="1"/>
      </w:r>
      <w:r w:rsidR="00540DE3">
        <w:rPr>
          <w:lang w:val="id-ID"/>
        </w:rPr>
        <w:instrText>ADDIN CSL_CITATION {"citationItems":[{"id":"ITEM-1","itemData":{"DOI":"10.1016/j.promfg.2020.04.030","ISSN":"23519789","abstract":"The manufacturing industry is currently facing numerous challenges such as shortening innovation cycles, the demographic challenge and cost pressure. Augmented Reality (AR) offers tremendous potential for enhancing manufacturing processes in terms of productivity, education and safety and is therefore being intensively researched by scientists at present. One of the advantages is that it facilitates support for employees and optimizes the working environment. Thus, operators can exploit their innovation potential and creativity. The aim of this paper is to discuss the potentials of AR to face current challenges in production, show state-of-the art applications and present an own developed AR application to support the employee with their work tasks. With the application introduced, employees are provided with real-time data from their machinery, which is displayed in their field of vision. In addition, the application enables the processing of more complex and non-repetitive tasks that would otherwise require additional know-how or personnel. By using the application, instructions for maintenance work are embedded in the environment, allowing the operator to focus on his or her tasks. In the event of a problem, the operator can share the environment so an expert can perform remote assistance in real-time. In order to increase the acceptance of AR technologies, the application has been integrated into the LEAD factory at Graz University of Technology and is actively used in training courses. In this paper this AR application is tested and the test persons are asked with a questionnaire regarding their experience.","author":[{"dropping-particle":"","family":"Eder","given":"Matthias","non-dropping-particle":"","parse-names":false,"suffix":""},{"dropping-particle":"","family":"Mast","given":"Felizian","non-dropping-particle":"","parse-names":false,"suffix":""}],"container-title":"Procedia Manufacturing","id":"ITEM-1","issued":{"date-parts":[["2020"]]},"page":"7-12","title":"On the application of Augmented Reality in a learning factory working environment","type":"article-journal","volume":"45"},"uris":["http://www.mendeley.com/documents/?uuid=f96aa816-1360-310d-b177-4ec818cb69d6"]}],"mendeley":{"formattedCitation":"[3]","plainTextFormattedCitation":"[3]","previouslyFormattedCitation":"[3]"},"properties":{"noteIndex":0},"schema":"https://github.com/citation-style-language/schema/raw/master/csl-citation.json"}</w:instrText>
      </w:r>
      <w:r w:rsidR="00540DE3">
        <w:rPr>
          <w:lang w:val="id-ID"/>
        </w:rPr>
        <w:fldChar w:fldCharType="separate"/>
      </w:r>
      <w:r w:rsidR="00540DE3" w:rsidRPr="00540DE3">
        <w:rPr>
          <w:noProof/>
          <w:lang w:val="id-ID"/>
        </w:rPr>
        <w:t>[3]</w:t>
      </w:r>
      <w:r w:rsidR="00540DE3">
        <w:rPr>
          <w:lang w:val="id-ID"/>
        </w:rPr>
        <w:fldChar w:fldCharType="end"/>
      </w:r>
    </w:p>
    <w:p w14:paraId="0F8616E3" w14:textId="5A7040BF" w:rsidR="004F7988" w:rsidRPr="0008228A" w:rsidRDefault="004F7988" w:rsidP="004F7988">
      <w:pPr>
        <w:ind w:firstLine="567"/>
        <w:rPr>
          <w:lang w:val="id-ID"/>
        </w:rPr>
      </w:pPr>
      <w:r w:rsidRPr="003969F5">
        <w:t xml:space="preserve">In recent years, </w:t>
      </w:r>
      <w:r w:rsidRPr="00FF5060">
        <w:t>digital citizenship</w:t>
      </w:r>
      <w:r w:rsidRPr="003969F5">
        <w:t xml:space="preserve"> has become </w:t>
      </w:r>
      <w:r>
        <w:t>a fascinating</w:t>
      </w:r>
      <w:r w:rsidRPr="003969F5">
        <w:t xml:space="preserve"> topic to study, especially </w:t>
      </w:r>
      <w:r>
        <w:t xml:space="preserve">for </w:t>
      </w:r>
      <w:r w:rsidRPr="003969F5">
        <w:t xml:space="preserve">teachers who pursue the field of Civic Education. </w:t>
      </w:r>
      <w:r w:rsidR="0008228A">
        <w:rPr>
          <w:lang w:val="id-ID"/>
        </w:rPr>
        <w:t>S</w:t>
      </w:r>
      <w:r w:rsidRPr="003969F5">
        <w:t>tated that digital citizenship can be interpreted as digitalization in understanding, realizing</w:t>
      </w:r>
      <w:r>
        <w:t>,</w:t>
      </w:r>
      <w:r w:rsidRPr="003969F5">
        <w:t xml:space="preserve"> and implementing the rights and obligations of citizens, becoming an absolute thing to do digitally. That is, in the context of civic education</w:t>
      </w:r>
      <w:r>
        <w:t xml:space="preserve">, civic knowledge, </w:t>
      </w:r>
      <w:r w:rsidRPr="00FF5060">
        <w:t xml:space="preserve">civic skills, and civic disposition are carried out digitally by citizens. </w:t>
      </w:r>
      <w:r w:rsidRPr="007E1348">
        <w:t xml:space="preserve">Then, civic education shows a role in the social sphere </w:t>
      </w:r>
      <w:r>
        <w:t>to</w:t>
      </w:r>
      <w:r w:rsidRPr="007E1348">
        <w:t xml:space="preserve"> realize the creation of a sustainable peaceful atmosphere as a form of the presence of smart and good citizens</w:t>
      </w:r>
      <w:r w:rsidR="0008228A">
        <w:rPr>
          <w:lang w:val="id-ID"/>
        </w:rPr>
        <w:t>.</w:t>
      </w:r>
      <w:r w:rsidR="00540DE3">
        <w:rPr>
          <w:lang w:val="id-ID"/>
        </w:rPr>
        <w:fldChar w:fldCharType="begin" w:fldLock="1"/>
      </w:r>
      <w:r w:rsidR="00540DE3">
        <w:rPr>
          <w:lang w:val="id-ID"/>
        </w:rPr>
        <w:instrText>ADDIN CSL_CITATION {"citationItems":[{"id":"ITEM-1","itemData":{"ISSN":"15220222","abstract":"This study was conducted to determine the role of digital literacy on e-learning capabilities at UIN Sunan Ampel of Surabaya as a function of sharing information. With digital literacy, users will have extraordinary abilities to think, learn, communicate, work together, and create. Digital literacy that is important for users to have includes information literacy, media literacy, and Information and Communication Technology literacy. The digital literacy capabilities of users can be implemented in a university environment. Through digital literacy, a person can access information effectively and efficiently, evaluate information critically, and use that information more usefully. This study uses a qualitative and descriptive analysis method. Data is organized and collected through observations, surveys and interviews with literacy users, namely students and lecturers at UIN Sunan Ampel of Surabaya. The results found a model of increasing digital literacy in e-learning. This improvement model includes several elements such as communication and collaboration in the form of active participation in learning and research activities. Then the components of individual competence in the form of use skills, critical understanding, and communicative abilities. The conclusion is that the model of increasing access to digital literacy using e-learning is good enough at UIN Sunan Ampel of Surabaya. [ABSTRACT FROM AUTHOR]","author":[{"dropping-particle":"","family":"Ilham","given":"","non-dropping-particle":"","parse-names":false,"suffix":""},{"dropping-particle":"","family":"Apriliyanti","given":"Merlin","non-dropping-particle":"","parse-names":false,"suffix":""},{"dropping-particle":"","family":"Setiawan","given":"Heri Cahyo Bagus","non-dropping-particle":"","parse-names":false,"suffix":""},{"dropping-particle":"","family":"Yazid","given":"Muhammad","non-dropping-particle":"","parse-names":false,"suffix":""}],"container-title":"Library Philosophy &amp; Practice","id":"ITEM-1","issued":{"date-parts":[["2022"]]},"title":"Digital Literacy and Increased Utilization of Higher Education E-Learning in Indonesia: A Literature Review.","type":"article-journal"},"uris":["http://www.mendeley.com/documents/?uuid=4018509c-fcfa-3b1c-ba8c-45a29e291818"]}],"mendeley":{"formattedCitation":"[4]","plainTextFormattedCitation":"[4]","previouslyFormattedCitation":"[4]"},"properties":{"noteIndex":0},"schema":"https://github.com/citation-style-language/schema/raw/master/csl-citation.json"}</w:instrText>
      </w:r>
      <w:r w:rsidR="00540DE3">
        <w:rPr>
          <w:lang w:val="id-ID"/>
        </w:rPr>
        <w:fldChar w:fldCharType="separate"/>
      </w:r>
      <w:r w:rsidR="00540DE3" w:rsidRPr="00540DE3">
        <w:rPr>
          <w:noProof/>
          <w:lang w:val="id-ID"/>
        </w:rPr>
        <w:t>[4]</w:t>
      </w:r>
      <w:r w:rsidR="00540DE3">
        <w:rPr>
          <w:lang w:val="id-ID"/>
        </w:rPr>
        <w:fldChar w:fldCharType="end"/>
      </w:r>
    </w:p>
    <w:p w14:paraId="2628BBA3" w14:textId="77777777" w:rsidR="004F7988" w:rsidRDefault="004F7988" w:rsidP="004F7988">
      <w:pPr>
        <w:ind w:firstLine="567"/>
      </w:pPr>
    </w:p>
    <w:p w14:paraId="6FD33E01" w14:textId="3A63726E" w:rsidR="004F7988" w:rsidRDefault="004F7988" w:rsidP="004F7988">
      <w:pPr>
        <w:ind w:firstLine="567"/>
      </w:pPr>
      <w:r w:rsidRPr="003969F5">
        <w:t xml:space="preserve">On the other hand, also expressed the importance of digital citizenship among students </w:t>
      </w:r>
      <w:r>
        <w:t>amid</w:t>
      </w:r>
      <w:r w:rsidRPr="003969F5">
        <w:t xml:space="preserve"> rapid technological growth. Therefore, digital citizenship is considered necessary to be introduced so that they master digital competence in the context of participatory democracy so that they become intelligent users and are not talkative with information that is not necessarily the truth. So in this case </w:t>
      </w:r>
      <w:r>
        <w:t xml:space="preserve">Civic </w:t>
      </w:r>
      <w:r w:rsidRPr="003969F5">
        <w:t xml:space="preserve">teachers have an important position to carry it out. In this study, researchers examined the characteristics of digital citizenship of </w:t>
      </w:r>
      <w:r>
        <w:t xml:space="preserve">Civic </w:t>
      </w:r>
      <w:r w:rsidRPr="003969F5">
        <w:t>teachers in the city of Surabaya.</w:t>
      </w:r>
      <w:r w:rsidR="00540DE3">
        <w:fldChar w:fldCharType="begin" w:fldLock="1"/>
      </w:r>
      <w:r w:rsidR="00540DE3">
        <w:instrText>ADDIN CSL_CITATION {"citationItems":[{"id":"ITEM-1","itemData":{"author":[{"dropping-particle":"","family":"Harsiati","given":"Titik","non-dropping-particle":"","parse-names":false,"suffix":""}],"container-title":"LITERA","id":"ITEM-1","issue":"1/Maret","issued":{"date-parts":[["2018"]]},"title":"Karakteristik Soal Literasi Membaca pada Program PISA","type":"article-journal","volume":"17"},"uris":["http://www.mendeley.com/documents/?uuid=09d81184-b205-4c1d-a746-7162c424515e"]}],"mendeley":{"formattedCitation":"[5]","plainTextFormattedCitation":"[5]","previouslyFormattedCitation":"[5]"},"properties":{"noteIndex":0},"schema":"https://github.com/citation-style-language/schema/raw/master/csl-citation.json"}</w:instrText>
      </w:r>
      <w:r w:rsidR="00540DE3">
        <w:fldChar w:fldCharType="separate"/>
      </w:r>
      <w:r w:rsidR="00540DE3" w:rsidRPr="00540DE3">
        <w:rPr>
          <w:noProof/>
        </w:rPr>
        <w:t>[5]</w:t>
      </w:r>
      <w:r w:rsidR="00540DE3">
        <w:fldChar w:fldCharType="end"/>
      </w:r>
    </w:p>
    <w:p w14:paraId="095CD4FB" w14:textId="77777777" w:rsidR="00552A7B" w:rsidRDefault="00552A7B" w:rsidP="00552A7B">
      <w:pPr>
        <w:pStyle w:val="Heading10"/>
        <w:numPr>
          <w:ilvl w:val="0"/>
          <w:numId w:val="11"/>
        </w:numPr>
        <w:tabs>
          <w:tab w:val="num" w:pos="227"/>
        </w:tabs>
        <w:ind w:left="227" w:right="419" w:hanging="227"/>
      </w:pPr>
      <w:r>
        <w:t>Theory and Method</w:t>
      </w:r>
    </w:p>
    <w:p w14:paraId="0D3F2926" w14:textId="3D949D21" w:rsidR="00552A7B" w:rsidRPr="00552A7B" w:rsidRDefault="00552A7B" w:rsidP="00552A7B">
      <w:pPr>
        <w:pStyle w:val="Heading10"/>
        <w:numPr>
          <w:ilvl w:val="1"/>
          <w:numId w:val="11"/>
        </w:numPr>
        <w:ind w:left="426" w:right="419"/>
      </w:pPr>
      <w:r w:rsidRPr="00552A7B">
        <w:rPr>
          <w:sz w:val="20"/>
          <w:lang w:val="id"/>
        </w:rPr>
        <w:t>Theory</w:t>
      </w:r>
    </w:p>
    <w:p w14:paraId="463D3385" w14:textId="1F3DDDEF" w:rsidR="00B40464" w:rsidRPr="005C64B0" w:rsidRDefault="00B40464" w:rsidP="00B40464">
      <w:pPr>
        <w:pStyle w:val="p1a"/>
        <w:rPr>
          <w:lang w:val="id-ID"/>
        </w:rPr>
      </w:pPr>
      <w:r>
        <w:t xml:space="preserve">Education </w:t>
      </w:r>
      <w:r>
        <w:rPr>
          <w:lang w:val="id-ID"/>
        </w:rPr>
        <w:t>on</w:t>
      </w:r>
      <w:r>
        <w:t xml:space="preserve"> the global framework shifts from content and learning experiences towards future needs consisting of global citizenship skills, content that focuses on building awareness about the world, sustainability and an active role in the global </w:t>
      </w:r>
      <w:r>
        <w:lastRenderedPageBreak/>
        <w:t>community; innovation and creative skills are problem solving competencies, analytical thinking by following the analysis system; technology skills are the ability to program, digital and use of technology and have interpersonal social skills.</w:t>
      </w:r>
      <w:r>
        <w:fldChar w:fldCharType="begin" w:fldLock="1"/>
      </w:r>
      <w:r w:rsidR="00540DE3">
        <w:instrText>ADDIN CSL_CITATION {"citationItems":[{"id":"ITEM-1","itemData":{"DOI":"10.37817/ikraith-humaniora.v7i2.2295","ISSN":"2597-5064","abstract":"Empowerment of digital literacy skill intends to acquire. This study employed content analysison 36 journal articles that had been published in SINTA (Science and Technology Index), an onlinescientific porta l managed by Ministry of Education, Culture, Research, and Technology of theRepublic of Indonesia, with articles published in 2017 – 2022 with digital literacy as the main focusof the study. This current study has revealed that over the past three years, there has been asignificant increase in the number of publications focusing on research on digital literacy skill. Themajority of the 36 publications the researcher reviewed showed that quantitative researches wereone point or more superior to quantitative research. Additionally, senior high school students wereprimarily selected as the research subjects, with the topic of measuring the level of digital literacyskills being the most popular one. In light of the study's findings, some recommendations have beenmade for additional research. First and foremost, it is essential to improve the research anddevelopment method in order to create more educational materials with the goal of raising teachers'and students' low levels of digital literacy. Second, it is advised that when conducting any research,the researchers choose the test that best fits their hypothesis and research design.","author":[{"dropping-particle":"","family":"Nathanael","given":"Garcia Krisnando","non-dropping-particle":"","parse-names":false,"suffix":""}],"container-title":"IKRA-ITH HUMANIORA : Jurnal Sosial dan Humaniora","id":"ITEM-1","issue":"2","issued":{"date-parts":[["2022"]]},"title":"Trend of Digital Literacy Skill Research in Communication Education Journals across Indonesia: from Research Design to Data Analysis","type":"article-journal","volume":"7"},"uris":["http://www.mendeley.com/documents/?uuid=46245e0a-b717-35d3-84f7-35672832e564"]}],"mendeley":{"formattedCitation":"[6]","plainTextFormattedCitation":"[6]","previouslyFormattedCitation":"[6]"},"properties":{"noteIndex":0},"schema":"https://github.com/citation-style-language/schema/raw/master/csl-citation.json"}</w:instrText>
      </w:r>
      <w:r>
        <w:fldChar w:fldCharType="separate"/>
      </w:r>
      <w:r w:rsidR="00540DE3" w:rsidRPr="00540DE3">
        <w:rPr>
          <w:noProof/>
        </w:rPr>
        <w:t>[6]</w:t>
      </w:r>
      <w:r>
        <w:fldChar w:fldCharType="end"/>
      </w:r>
      <w:r>
        <w:t xml:space="preserve"> So that in this case learning experiences are needed that make students independent, independent and inclusive learning, project-based learning, problems and collaboration as well as student-centered and sustainable (lifelong). The existence of technology makes student involvement more intense, covers a wide (digitally) and diverse environment in cyber learning networks</w:t>
      </w:r>
      <w:r>
        <w:rPr>
          <w:lang w:val="id-ID"/>
        </w:rPr>
        <w:t>.</w:t>
      </w:r>
      <w:r>
        <w:rPr>
          <w:lang w:val="id-ID"/>
        </w:rPr>
        <w:fldChar w:fldCharType="begin" w:fldLock="1"/>
      </w:r>
      <w:r w:rsidR="00540DE3">
        <w:rPr>
          <w:lang w:val="id-ID"/>
        </w:rPr>
        <w:instrText>ADDIN CSL_CITATION {"citationItems":[{"id":"ITEM-1","itemData":{"DOI":"10.1016/j.kjss.2016.10.004","ISSN":"24523151","abstract":"There is still a gender digital divide in Indonesia. Indonesian women need digital media literacy skills to effectively use the Internet and to raise their quality of life. Empowering literacy abilities includes the skills of using digital media to access, search, analyze, reflect, share, and create. In this qualitative research study, founders, leaders, and participants from IWITA (Indonesian Women Information Technology Awareness) and FemaleDev (Female Developer) were interviewed because these organizations focus on developing digital literacy for women. The findings indicated that digital media literacy remains low because of inadequate education, lack of opportunities and the patriarchal system in Indonesia.","author":[{"dropping-particle":"","family":"Suwana","given":"Fiona","non-dropping-particle":"","parse-names":false,"suffix":""},{"dropping-particle":"","family":"Lily","given":"","non-dropping-particle":"","parse-names":false,"suffix":""}],"container-title":"Kasetsart Journal of Social Sciences","id":"ITEM-1","issue":"3","issued":{"date-parts":[["2017"]]},"title":"Empowering Indonesian women through building digital media literacy","type":"article-journal","volume":"38"},"uris":["http://www.mendeley.com/documents/?uuid=49df9559-2418-3a3b-942a-778859b04ec0"]}],"mendeley":{"formattedCitation":"[7]","plainTextFormattedCitation":"[7]","previouslyFormattedCitation":"[7]"},"properties":{"noteIndex":0},"schema":"https://github.com/citation-style-language/schema/raw/master/csl-citation.json"}</w:instrText>
      </w:r>
      <w:r>
        <w:rPr>
          <w:lang w:val="id-ID"/>
        </w:rPr>
        <w:fldChar w:fldCharType="separate"/>
      </w:r>
      <w:r w:rsidR="00540DE3" w:rsidRPr="00540DE3">
        <w:rPr>
          <w:noProof/>
          <w:lang w:val="id-ID"/>
        </w:rPr>
        <w:t>[7]</w:t>
      </w:r>
      <w:r>
        <w:rPr>
          <w:lang w:val="id-ID"/>
        </w:rPr>
        <w:fldChar w:fldCharType="end"/>
      </w:r>
    </w:p>
    <w:p w14:paraId="0635AA45" w14:textId="77777777" w:rsidR="00552A7B" w:rsidRPr="00552A7B" w:rsidRDefault="00552A7B" w:rsidP="00552A7B">
      <w:pPr>
        <w:rPr>
          <w:lang w:val="id"/>
        </w:rPr>
      </w:pPr>
    </w:p>
    <w:p w14:paraId="5D9FC031" w14:textId="4AB02EE5" w:rsidR="00552A7B" w:rsidRDefault="00D64B90" w:rsidP="00D64B90">
      <w:pPr>
        <w:pStyle w:val="Heading10"/>
        <w:numPr>
          <w:ilvl w:val="1"/>
          <w:numId w:val="11"/>
        </w:numPr>
        <w:ind w:left="426" w:right="419"/>
        <w:rPr>
          <w:bCs/>
          <w:sz w:val="20"/>
          <w:lang w:val="id"/>
        </w:rPr>
      </w:pPr>
      <w:r w:rsidRPr="00D64B90">
        <w:rPr>
          <w:sz w:val="20"/>
          <w:lang w:val="id"/>
        </w:rPr>
        <w:t>M</w:t>
      </w:r>
      <w:r w:rsidR="00552A7B" w:rsidRPr="00D64B90">
        <w:rPr>
          <w:sz w:val="20"/>
          <w:lang w:val="id"/>
        </w:rPr>
        <w:t>ethod</w:t>
      </w:r>
    </w:p>
    <w:p w14:paraId="21F3D118" w14:textId="7A2074BC" w:rsidR="004F7988" w:rsidRPr="004F7988" w:rsidRDefault="004F7988" w:rsidP="004F7988">
      <w:pPr>
        <w:pStyle w:val="p1a"/>
        <w:rPr>
          <w:b/>
          <w:bCs/>
        </w:rPr>
      </w:pPr>
      <w:r>
        <w:t xml:space="preserve">  </w:t>
      </w:r>
      <w:r w:rsidRPr="003969F5">
        <w:t>The method used in this study is literature reviews, namely by identifying, evaluating</w:t>
      </w:r>
      <w:r>
        <w:t>,</w:t>
      </w:r>
      <w:r w:rsidRPr="003969F5">
        <w:t xml:space="preserve"> and synthesizing research results and critical thinking results that have been produced by previous researchers and practitioners to find gaps for research to be carried out. This research is made in the literature review research method to provide </w:t>
      </w:r>
      <w:r w:rsidRPr="004F7988">
        <w:rPr>
          <w:i/>
          <w:iCs/>
        </w:rPr>
        <w:t>output</w:t>
      </w:r>
      <w:r>
        <w:t xml:space="preserve"> to </w:t>
      </w:r>
      <w:r w:rsidRPr="003969F5">
        <w:t xml:space="preserve">existing data, as well as the </w:t>
      </w:r>
      <w:r w:rsidRPr="004F7988">
        <w:rPr>
          <w:lang w:val="id"/>
        </w:rPr>
        <w:t>elaboration</w:t>
      </w:r>
      <w:r w:rsidRPr="003969F5">
        <w:t xml:space="preserve"> of a finding so that it can be used as an example for research studies in compiling or making a clear discussion of the content of the problem to be studied. Researchers look for data or literature materials from journals or indexed articles. </w:t>
      </w:r>
      <w:r w:rsidR="00B40464">
        <w:rPr>
          <w:lang w:val="id-ID"/>
        </w:rPr>
        <w:t xml:space="preserve"> </w:t>
      </w:r>
      <w:r w:rsidRPr="003969F5">
        <w:t>Searching for journals or articles begins by typing the keyword "</w:t>
      </w:r>
      <w:r w:rsidRPr="004F7988">
        <w:rPr>
          <w:i/>
          <w:iCs/>
        </w:rPr>
        <w:t xml:space="preserve">digital citizen </w:t>
      </w:r>
      <w:r>
        <w:t>of Civic</w:t>
      </w:r>
      <w:r w:rsidRPr="005E640A">
        <w:t xml:space="preserve"> teachers in Surabaya City" </w:t>
      </w:r>
      <w:r w:rsidRPr="003969F5">
        <w:t>through google scholar with a minimum duration of the last 4 years (pandemic and post-pandemic era) that is relevant as a strong foundation in the content or discussion in this study.</w:t>
      </w:r>
    </w:p>
    <w:p w14:paraId="22B73EB5" w14:textId="3494B9E7" w:rsidR="00552A7B" w:rsidRDefault="00552A7B" w:rsidP="00D64B90">
      <w:pPr>
        <w:pStyle w:val="p1a"/>
        <w:rPr>
          <w:b/>
          <w:bCs/>
          <w:lang w:val="id"/>
        </w:rPr>
      </w:pPr>
      <w:r w:rsidRPr="00FB522A">
        <w:rPr>
          <w:lang w:val="id"/>
        </w:rPr>
        <w:t>.</w:t>
      </w:r>
    </w:p>
    <w:p w14:paraId="2ECCDAE0" w14:textId="221405B4" w:rsidR="00552A7B" w:rsidRDefault="00552A7B" w:rsidP="00552A7B">
      <w:pPr>
        <w:pStyle w:val="Heading10"/>
        <w:numPr>
          <w:ilvl w:val="0"/>
          <w:numId w:val="10"/>
        </w:numPr>
        <w:tabs>
          <w:tab w:val="num" w:pos="227"/>
          <w:tab w:val="left" w:pos="993"/>
        </w:tabs>
        <w:ind w:left="227" w:right="419" w:hanging="227"/>
        <w:rPr>
          <w:sz w:val="20"/>
        </w:rPr>
      </w:pPr>
      <w:bookmarkStart w:id="1" w:name="3_Results_and_Discussion"/>
      <w:bookmarkEnd w:id="1"/>
      <w:r>
        <w:rPr>
          <w:sz w:val="20"/>
        </w:rPr>
        <w:t>Result and Discussion</w:t>
      </w:r>
    </w:p>
    <w:p w14:paraId="4F68EF09" w14:textId="77777777" w:rsidR="00B40464" w:rsidRDefault="00B40464" w:rsidP="00B40464">
      <w:pPr>
        <w:pStyle w:val="p1a"/>
      </w:pPr>
      <w:r w:rsidRPr="003969F5">
        <w:t xml:space="preserve">Based on the literature review conducted, there are four studies found to have relevance to the characteristics of digital citizenship of </w:t>
      </w:r>
      <w:r>
        <w:t>Civic</w:t>
      </w:r>
      <w:r w:rsidRPr="003969F5">
        <w:t xml:space="preserve"> teachers in the city of Surabaya, namely as follows:</w:t>
      </w:r>
    </w:p>
    <w:p w14:paraId="2FC73925" w14:textId="77777777" w:rsidR="00B40464" w:rsidRDefault="00B40464" w:rsidP="00B40464">
      <w:pPr>
        <w:pStyle w:val="p1a"/>
      </w:pPr>
    </w:p>
    <w:p w14:paraId="413E6EC3" w14:textId="07A7146C" w:rsidR="00B40464" w:rsidRPr="003969F5" w:rsidRDefault="00B40464" w:rsidP="00B40464">
      <w:pPr>
        <w:pStyle w:val="p1a"/>
      </w:pPr>
      <w:r w:rsidRPr="003969F5">
        <w:t xml:space="preserve">Table 1.1 </w:t>
      </w:r>
      <w:r w:rsidRPr="008E6A62">
        <w:t>Characteristics Of Digital Citizenship Of Civic Education Teachers In Surabaya City</w:t>
      </w:r>
    </w:p>
    <w:p w14:paraId="752B8CED" w14:textId="5270B7DF" w:rsidR="00B40464" w:rsidRDefault="00B40464" w:rsidP="00B40464">
      <w:pPr>
        <w:pStyle w:val="p1a"/>
      </w:pPr>
    </w:p>
    <w:tbl>
      <w:tblPr>
        <w:tblW w:w="69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338"/>
        <w:gridCol w:w="865"/>
        <w:gridCol w:w="978"/>
      </w:tblGrid>
      <w:tr w:rsidR="00B40464" w:rsidRPr="005D5088" w14:paraId="7CC62FD9" w14:textId="77777777" w:rsidTr="00B40464">
        <w:tc>
          <w:tcPr>
            <w:tcW w:w="794" w:type="dxa"/>
            <w:tcBorders>
              <w:top w:val="single" w:sz="4" w:space="0" w:color="auto"/>
              <w:left w:val="single" w:sz="4" w:space="0" w:color="auto"/>
              <w:bottom w:val="single" w:sz="4" w:space="0" w:color="auto"/>
              <w:right w:val="single" w:sz="4" w:space="0" w:color="auto"/>
            </w:tcBorders>
            <w:hideMark/>
          </w:tcPr>
          <w:p w14:paraId="5D3FA6B3" w14:textId="77777777" w:rsidR="00B40464" w:rsidRPr="005D5088" w:rsidRDefault="00B40464" w:rsidP="005978E2">
            <w:pPr>
              <w:jc w:val="right"/>
              <w:rPr>
                <w:b/>
                <w:bCs/>
              </w:rPr>
            </w:pPr>
            <w:r w:rsidRPr="005D5088">
              <w:rPr>
                <w:b/>
                <w:bCs/>
              </w:rPr>
              <w:t>NO.</w:t>
            </w:r>
          </w:p>
        </w:tc>
        <w:tc>
          <w:tcPr>
            <w:tcW w:w="4338" w:type="dxa"/>
            <w:tcBorders>
              <w:top w:val="single" w:sz="4" w:space="0" w:color="auto"/>
              <w:left w:val="single" w:sz="4" w:space="0" w:color="auto"/>
              <w:bottom w:val="single" w:sz="4" w:space="0" w:color="auto"/>
              <w:right w:val="single" w:sz="4" w:space="0" w:color="auto"/>
            </w:tcBorders>
            <w:hideMark/>
          </w:tcPr>
          <w:p w14:paraId="6DEB00C9" w14:textId="77777777" w:rsidR="00B40464" w:rsidRPr="005D5088" w:rsidRDefault="00B40464" w:rsidP="005978E2">
            <w:pPr>
              <w:jc w:val="left"/>
              <w:rPr>
                <w:b/>
                <w:bCs/>
              </w:rPr>
            </w:pPr>
            <w:r w:rsidRPr="005D5088">
              <w:rPr>
                <w:b/>
                <w:bCs/>
              </w:rPr>
              <w:t>Research Title</w:t>
            </w:r>
          </w:p>
        </w:tc>
        <w:tc>
          <w:tcPr>
            <w:tcW w:w="865" w:type="dxa"/>
            <w:tcBorders>
              <w:top w:val="single" w:sz="4" w:space="0" w:color="auto"/>
              <w:left w:val="single" w:sz="4" w:space="0" w:color="auto"/>
              <w:bottom w:val="single" w:sz="4" w:space="0" w:color="auto"/>
              <w:right w:val="single" w:sz="4" w:space="0" w:color="auto"/>
            </w:tcBorders>
            <w:hideMark/>
          </w:tcPr>
          <w:p w14:paraId="6B89FE1A" w14:textId="77777777" w:rsidR="00B40464" w:rsidRPr="005D5088" w:rsidRDefault="00B40464" w:rsidP="005978E2">
            <w:pPr>
              <w:jc w:val="left"/>
              <w:rPr>
                <w:b/>
                <w:bCs/>
              </w:rPr>
            </w:pPr>
            <w:r w:rsidRPr="005D5088">
              <w:rPr>
                <w:b/>
                <w:bCs/>
              </w:rPr>
              <w:t>Year</w:t>
            </w:r>
          </w:p>
        </w:tc>
        <w:tc>
          <w:tcPr>
            <w:tcW w:w="978" w:type="dxa"/>
            <w:tcBorders>
              <w:top w:val="single" w:sz="4" w:space="0" w:color="auto"/>
              <w:left w:val="single" w:sz="4" w:space="0" w:color="auto"/>
              <w:bottom w:val="single" w:sz="4" w:space="0" w:color="auto"/>
              <w:right w:val="single" w:sz="4" w:space="0" w:color="auto"/>
            </w:tcBorders>
            <w:hideMark/>
          </w:tcPr>
          <w:p w14:paraId="27E6189E" w14:textId="77777777" w:rsidR="00B40464" w:rsidRDefault="00B40464" w:rsidP="005978E2">
            <w:pPr>
              <w:rPr>
                <w:b/>
                <w:bCs/>
              </w:rPr>
            </w:pPr>
            <w:r w:rsidRPr="005D5088">
              <w:rPr>
                <w:b/>
                <w:bCs/>
              </w:rPr>
              <w:t>Relevance of Digital Citizenship Characteristics</w:t>
            </w:r>
          </w:p>
          <w:p w14:paraId="414B31E7" w14:textId="77777777" w:rsidR="00B40464" w:rsidRPr="005D5088" w:rsidRDefault="00B40464" w:rsidP="005978E2">
            <w:pPr>
              <w:rPr>
                <w:b/>
                <w:bCs/>
              </w:rPr>
            </w:pPr>
          </w:p>
        </w:tc>
      </w:tr>
      <w:tr w:rsidR="00B40464" w:rsidRPr="005D5088" w14:paraId="26DACB78" w14:textId="77777777" w:rsidTr="00B40464">
        <w:tc>
          <w:tcPr>
            <w:tcW w:w="794" w:type="dxa"/>
            <w:tcBorders>
              <w:top w:val="single" w:sz="4" w:space="0" w:color="auto"/>
              <w:left w:val="single" w:sz="4" w:space="0" w:color="auto"/>
              <w:bottom w:val="single" w:sz="4" w:space="0" w:color="auto"/>
              <w:right w:val="single" w:sz="4" w:space="0" w:color="auto"/>
            </w:tcBorders>
          </w:tcPr>
          <w:p w14:paraId="5A269C3B" w14:textId="77777777" w:rsidR="00B40464" w:rsidRPr="005D5088" w:rsidRDefault="00B40464" w:rsidP="00B40464">
            <w:pPr>
              <w:numPr>
                <w:ilvl w:val="0"/>
                <w:numId w:val="12"/>
              </w:numPr>
              <w:overflowPunct/>
              <w:autoSpaceDE/>
              <w:autoSpaceDN/>
              <w:adjustRightInd/>
              <w:spacing w:line="240" w:lineRule="auto"/>
              <w:jc w:val="center"/>
              <w:textAlignment w:val="auto"/>
              <w:rPr>
                <w:b/>
                <w:bCs/>
              </w:rPr>
            </w:pPr>
          </w:p>
        </w:tc>
        <w:tc>
          <w:tcPr>
            <w:tcW w:w="4338" w:type="dxa"/>
            <w:tcBorders>
              <w:top w:val="single" w:sz="4" w:space="0" w:color="auto"/>
              <w:left w:val="single" w:sz="4" w:space="0" w:color="auto"/>
              <w:bottom w:val="single" w:sz="4" w:space="0" w:color="auto"/>
              <w:right w:val="single" w:sz="4" w:space="0" w:color="auto"/>
            </w:tcBorders>
          </w:tcPr>
          <w:p w14:paraId="57819AB0" w14:textId="47538090" w:rsidR="00B40464" w:rsidRPr="005D5088" w:rsidRDefault="00B40464" w:rsidP="00B40464">
            <w:pPr>
              <w:ind w:firstLine="0"/>
            </w:pPr>
            <w:r w:rsidRPr="005D5088">
              <w:t xml:space="preserve">Online Learning as Best Practice Material for Junior High School </w:t>
            </w:r>
            <w:r>
              <w:t xml:space="preserve">Civic Education </w:t>
            </w:r>
            <w:r w:rsidRPr="005D5088">
              <w:t xml:space="preserve">Teachers in Surabaya City  </w:t>
            </w:r>
          </w:p>
        </w:tc>
        <w:tc>
          <w:tcPr>
            <w:tcW w:w="865" w:type="dxa"/>
            <w:tcBorders>
              <w:top w:val="single" w:sz="4" w:space="0" w:color="auto"/>
              <w:left w:val="single" w:sz="4" w:space="0" w:color="auto"/>
              <w:bottom w:val="single" w:sz="4" w:space="0" w:color="auto"/>
              <w:right w:val="single" w:sz="4" w:space="0" w:color="auto"/>
            </w:tcBorders>
            <w:hideMark/>
          </w:tcPr>
          <w:p w14:paraId="22183106" w14:textId="77777777" w:rsidR="00B40464" w:rsidRPr="005D5088" w:rsidRDefault="00B40464" w:rsidP="005978E2">
            <w:pPr>
              <w:jc w:val="left"/>
              <w:rPr>
                <w:b/>
                <w:bCs/>
              </w:rPr>
            </w:pPr>
            <w:r w:rsidRPr="005D5088">
              <w:rPr>
                <w:b/>
                <w:bCs/>
              </w:rPr>
              <w:t>2020</w:t>
            </w:r>
          </w:p>
        </w:tc>
        <w:tc>
          <w:tcPr>
            <w:tcW w:w="978" w:type="dxa"/>
            <w:tcBorders>
              <w:top w:val="single" w:sz="4" w:space="0" w:color="auto"/>
              <w:left w:val="single" w:sz="4" w:space="0" w:color="auto"/>
              <w:bottom w:val="single" w:sz="4" w:space="0" w:color="auto"/>
              <w:right w:val="single" w:sz="4" w:space="0" w:color="auto"/>
            </w:tcBorders>
            <w:hideMark/>
          </w:tcPr>
          <w:p w14:paraId="151D79EA" w14:textId="77777777" w:rsidR="00B40464" w:rsidRPr="005D5088" w:rsidRDefault="00B40464" w:rsidP="00B40464">
            <w:pPr>
              <w:ind w:firstLine="0"/>
            </w:pPr>
            <w:r>
              <w:t>Digital Literacy</w:t>
            </w:r>
          </w:p>
        </w:tc>
      </w:tr>
      <w:tr w:rsidR="00B40464" w:rsidRPr="005D5088" w14:paraId="3EC40A6D" w14:textId="77777777" w:rsidTr="00B40464">
        <w:tc>
          <w:tcPr>
            <w:tcW w:w="794" w:type="dxa"/>
            <w:tcBorders>
              <w:top w:val="single" w:sz="4" w:space="0" w:color="auto"/>
              <w:left w:val="single" w:sz="4" w:space="0" w:color="auto"/>
              <w:bottom w:val="single" w:sz="4" w:space="0" w:color="auto"/>
              <w:right w:val="single" w:sz="4" w:space="0" w:color="auto"/>
            </w:tcBorders>
          </w:tcPr>
          <w:p w14:paraId="32BC7CAF" w14:textId="77777777" w:rsidR="00B40464" w:rsidRPr="005D5088" w:rsidRDefault="00B40464" w:rsidP="00B40464">
            <w:pPr>
              <w:numPr>
                <w:ilvl w:val="0"/>
                <w:numId w:val="12"/>
              </w:numPr>
              <w:overflowPunct/>
              <w:autoSpaceDE/>
              <w:autoSpaceDN/>
              <w:adjustRightInd/>
              <w:spacing w:line="240" w:lineRule="auto"/>
              <w:jc w:val="left"/>
              <w:textAlignment w:val="auto"/>
              <w:rPr>
                <w:b/>
                <w:bCs/>
              </w:rPr>
            </w:pPr>
          </w:p>
        </w:tc>
        <w:tc>
          <w:tcPr>
            <w:tcW w:w="4338" w:type="dxa"/>
            <w:tcBorders>
              <w:top w:val="single" w:sz="4" w:space="0" w:color="auto"/>
              <w:left w:val="single" w:sz="4" w:space="0" w:color="auto"/>
              <w:bottom w:val="single" w:sz="4" w:space="0" w:color="auto"/>
              <w:right w:val="single" w:sz="4" w:space="0" w:color="auto"/>
            </w:tcBorders>
          </w:tcPr>
          <w:p w14:paraId="421AEBB0" w14:textId="19756294" w:rsidR="00B40464" w:rsidRPr="005D5088" w:rsidRDefault="00B40464" w:rsidP="00B40464">
            <w:pPr>
              <w:ind w:firstLine="0"/>
            </w:pPr>
            <w:r w:rsidRPr="005D5088">
              <w:t xml:space="preserve">Development of Mobile Learning Media with Telegram Application Fire Bot on </w:t>
            </w:r>
            <w:r>
              <w:t xml:space="preserve">Civic </w:t>
            </w:r>
            <w:r w:rsidRPr="005D5088">
              <w:t>Subjects at SMAN 12 Surabaya</w:t>
            </w:r>
          </w:p>
        </w:tc>
        <w:tc>
          <w:tcPr>
            <w:tcW w:w="865" w:type="dxa"/>
            <w:tcBorders>
              <w:top w:val="single" w:sz="4" w:space="0" w:color="auto"/>
              <w:left w:val="single" w:sz="4" w:space="0" w:color="auto"/>
              <w:bottom w:val="single" w:sz="4" w:space="0" w:color="auto"/>
              <w:right w:val="single" w:sz="4" w:space="0" w:color="auto"/>
            </w:tcBorders>
            <w:hideMark/>
          </w:tcPr>
          <w:p w14:paraId="1DD0897E" w14:textId="77777777" w:rsidR="00B40464" w:rsidRPr="005D5088" w:rsidRDefault="00B40464" w:rsidP="005978E2">
            <w:pPr>
              <w:jc w:val="left"/>
              <w:rPr>
                <w:b/>
                <w:bCs/>
              </w:rPr>
            </w:pPr>
            <w:r w:rsidRPr="005D5088">
              <w:rPr>
                <w:b/>
                <w:bCs/>
              </w:rPr>
              <w:t>2020</w:t>
            </w:r>
          </w:p>
        </w:tc>
        <w:tc>
          <w:tcPr>
            <w:tcW w:w="978" w:type="dxa"/>
            <w:tcBorders>
              <w:top w:val="single" w:sz="4" w:space="0" w:color="auto"/>
              <w:left w:val="single" w:sz="4" w:space="0" w:color="auto"/>
              <w:bottom w:val="single" w:sz="4" w:space="0" w:color="auto"/>
              <w:right w:val="single" w:sz="4" w:space="0" w:color="auto"/>
            </w:tcBorders>
            <w:hideMark/>
          </w:tcPr>
          <w:p w14:paraId="64377658" w14:textId="77777777" w:rsidR="00B40464" w:rsidRPr="005D5088" w:rsidRDefault="00B40464" w:rsidP="00B40464">
            <w:pPr>
              <w:ind w:firstLine="0"/>
            </w:pPr>
            <w:r w:rsidRPr="00ED1AC9">
              <w:t>Digital Literacy</w:t>
            </w:r>
          </w:p>
        </w:tc>
      </w:tr>
      <w:tr w:rsidR="00B40464" w:rsidRPr="005D5088" w14:paraId="20A6CAB7" w14:textId="77777777" w:rsidTr="00B40464">
        <w:tc>
          <w:tcPr>
            <w:tcW w:w="794" w:type="dxa"/>
            <w:tcBorders>
              <w:top w:val="single" w:sz="4" w:space="0" w:color="auto"/>
              <w:left w:val="single" w:sz="4" w:space="0" w:color="auto"/>
              <w:bottom w:val="single" w:sz="4" w:space="0" w:color="auto"/>
              <w:right w:val="single" w:sz="4" w:space="0" w:color="auto"/>
            </w:tcBorders>
          </w:tcPr>
          <w:p w14:paraId="01D0C620" w14:textId="77777777" w:rsidR="00B40464" w:rsidRPr="005D5088" w:rsidRDefault="00B40464" w:rsidP="00B40464">
            <w:pPr>
              <w:numPr>
                <w:ilvl w:val="0"/>
                <w:numId w:val="12"/>
              </w:numPr>
              <w:overflowPunct/>
              <w:autoSpaceDE/>
              <w:autoSpaceDN/>
              <w:adjustRightInd/>
              <w:spacing w:line="240" w:lineRule="auto"/>
              <w:jc w:val="left"/>
              <w:textAlignment w:val="auto"/>
              <w:rPr>
                <w:b/>
                <w:bCs/>
              </w:rPr>
            </w:pPr>
          </w:p>
        </w:tc>
        <w:tc>
          <w:tcPr>
            <w:tcW w:w="4338" w:type="dxa"/>
            <w:tcBorders>
              <w:top w:val="single" w:sz="4" w:space="0" w:color="auto"/>
              <w:left w:val="single" w:sz="4" w:space="0" w:color="auto"/>
              <w:bottom w:val="single" w:sz="4" w:space="0" w:color="auto"/>
              <w:right w:val="single" w:sz="4" w:space="0" w:color="auto"/>
            </w:tcBorders>
          </w:tcPr>
          <w:p w14:paraId="414D7AE3" w14:textId="77777777" w:rsidR="00B40464" w:rsidRPr="005D5088" w:rsidRDefault="00B40464" w:rsidP="00B40464">
            <w:pPr>
              <w:ind w:firstLine="0"/>
            </w:pPr>
            <w:r w:rsidRPr="00376CE6">
              <w:t>Implementation of Digital Citizenship Education in Forming Good Digital Citizen in Unesa Labschool High School Students</w:t>
            </w:r>
          </w:p>
        </w:tc>
        <w:tc>
          <w:tcPr>
            <w:tcW w:w="865" w:type="dxa"/>
            <w:tcBorders>
              <w:top w:val="single" w:sz="4" w:space="0" w:color="auto"/>
              <w:left w:val="single" w:sz="4" w:space="0" w:color="auto"/>
              <w:bottom w:val="single" w:sz="4" w:space="0" w:color="auto"/>
              <w:right w:val="single" w:sz="4" w:space="0" w:color="auto"/>
            </w:tcBorders>
            <w:hideMark/>
          </w:tcPr>
          <w:p w14:paraId="54703853" w14:textId="77777777" w:rsidR="00B40464" w:rsidRPr="005D5088" w:rsidRDefault="00B40464" w:rsidP="005978E2">
            <w:pPr>
              <w:jc w:val="left"/>
              <w:rPr>
                <w:b/>
                <w:bCs/>
              </w:rPr>
            </w:pPr>
            <w:r w:rsidRPr="005D5088">
              <w:rPr>
                <w:b/>
                <w:bCs/>
              </w:rPr>
              <w:t>2021</w:t>
            </w:r>
          </w:p>
        </w:tc>
        <w:tc>
          <w:tcPr>
            <w:tcW w:w="978" w:type="dxa"/>
            <w:tcBorders>
              <w:top w:val="single" w:sz="4" w:space="0" w:color="auto"/>
              <w:left w:val="single" w:sz="4" w:space="0" w:color="auto"/>
              <w:bottom w:val="single" w:sz="4" w:space="0" w:color="auto"/>
              <w:right w:val="single" w:sz="4" w:space="0" w:color="auto"/>
            </w:tcBorders>
            <w:hideMark/>
          </w:tcPr>
          <w:p w14:paraId="702D9B2C" w14:textId="77777777" w:rsidR="00B40464" w:rsidRPr="005D5088" w:rsidRDefault="00B40464" w:rsidP="00B40464">
            <w:pPr>
              <w:ind w:firstLine="0"/>
            </w:pPr>
            <w:r w:rsidRPr="005D5088">
              <w:t>Digital Access</w:t>
            </w:r>
          </w:p>
        </w:tc>
      </w:tr>
      <w:tr w:rsidR="00B40464" w:rsidRPr="005D5088" w14:paraId="0B1FA33D" w14:textId="77777777" w:rsidTr="00B40464">
        <w:tc>
          <w:tcPr>
            <w:tcW w:w="794" w:type="dxa"/>
            <w:tcBorders>
              <w:top w:val="single" w:sz="4" w:space="0" w:color="auto"/>
              <w:left w:val="single" w:sz="4" w:space="0" w:color="auto"/>
              <w:bottom w:val="single" w:sz="4" w:space="0" w:color="auto"/>
              <w:right w:val="single" w:sz="4" w:space="0" w:color="auto"/>
            </w:tcBorders>
          </w:tcPr>
          <w:p w14:paraId="39BB9F54" w14:textId="77777777" w:rsidR="00B40464" w:rsidRPr="005D5088" w:rsidRDefault="00B40464" w:rsidP="00B40464">
            <w:pPr>
              <w:numPr>
                <w:ilvl w:val="0"/>
                <w:numId w:val="12"/>
              </w:numPr>
              <w:overflowPunct/>
              <w:autoSpaceDE/>
              <w:autoSpaceDN/>
              <w:adjustRightInd/>
              <w:spacing w:line="240" w:lineRule="auto"/>
              <w:jc w:val="left"/>
              <w:textAlignment w:val="auto"/>
              <w:rPr>
                <w:b/>
                <w:bCs/>
              </w:rPr>
            </w:pPr>
          </w:p>
        </w:tc>
        <w:tc>
          <w:tcPr>
            <w:tcW w:w="4338" w:type="dxa"/>
            <w:tcBorders>
              <w:top w:val="single" w:sz="4" w:space="0" w:color="auto"/>
              <w:left w:val="single" w:sz="4" w:space="0" w:color="auto"/>
              <w:bottom w:val="single" w:sz="4" w:space="0" w:color="auto"/>
              <w:right w:val="single" w:sz="4" w:space="0" w:color="auto"/>
            </w:tcBorders>
            <w:hideMark/>
          </w:tcPr>
          <w:p w14:paraId="6DDC32FA" w14:textId="77777777" w:rsidR="00B40464" w:rsidRPr="005D5088" w:rsidRDefault="00B40464" w:rsidP="00B40464">
            <w:pPr>
              <w:ind w:firstLine="0"/>
            </w:pPr>
            <w:r w:rsidRPr="005D5088">
              <w:t xml:space="preserve">Problems in the Implementation of Hybrid Learning in </w:t>
            </w:r>
            <w:r>
              <w:t xml:space="preserve">Civic </w:t>
            </w:r>
            <w:r w:rsidRPr="005D5088">
              <w:t>Subjects at SMA Negeri 16 Surabaya</w:t>
            </w:r>
          </w:p>
        </w:tc>
        <w:tc>
          <w:tcPr>
            <w:tcW w:w="865" w:type="dxa"/>
            <w:tcBorders>
              <w:top w:val="single" w:sz="4" w:space="0" w:color="auto"/>
              <w:left w:val="single" w:sz="4" w:space="0" w:color="auto"/>
              <w:bottom w:val="single" w:sz="4" w:space="0" w:color="auto"/>
              <w:right w:val="single" w:sz="4" w:space="0" w:color="auto"/>
            </w:tcBorders>
            <w:hideMark/>
          </w:tcPr>
          <w:p w14:paraId="339C9C61" w14:textId="77777777" w:rsidR="00B40464" w:rsidRPr="005D5088" w:rsidRDefault="00B40464" w:rsidP="005978E2">
            <w:pPr>
              <w:jc w:val="left"/>
              <w:rPr>
                <w:b/>
                <w:bCs/>
              </w:rPr>
            </w:pPr>
            <w:r w:rsidRPr="005D5088">
              <w:rPr>
                <w:b/>
                <w:bCs/>
              </w:rPr>
              <w:t>2022</w:t>
            </w:r>
          </w:p>
        </w:tc>
        <w:tc>
          <w:tcPr>
            <w:tcW w:w="978" w:type="dxa"/>
            <w:tcBorders>
              <w:top w:val="single" w:sz="4" w:space="0" w:color="auto"/>
              <w:left w:val="single" w:sz="4" w:space="0" w:color="auto"/>
              <w:bottom w:val="single" w:sz="4" w:space="0" w:color="auto"/>
              <w:right w:val="single" w:sz="4" w:space="0" w:color="auto"/>
            </w:tcBorders>
            <w:hideMark/>
          </w:tcPr>
          <w:p w14:paraId="1A27FCF3" w14:textId="77777777" w:rsidR="00B40464" w:rsidRPr="005D5088" w:rsidRDefault="00B40464" w:rsidP="00B40464">
            <w:pPr>
              <w:ind w:firstLine="0"/>
            </w:pPr>
            <w:r w:rsidRPr="005D5088">
              <w:t>Digital Access</w:t>
            </w:r>
          </w:p>
        </w:tc>
      </w:tr>
    </w:tbl>
    <w:p w14:paraId="494AD8BA" w14:textId="39EA60B4" w:rsidR="00B40464" w:rsidRDefault="00B40464" w:rsidP="00B40464"/>
    <w:p w14:paraId="0282BE98" w14:textId="77777777" w:rsidR="00B40464" w:rsidRPr="00AB5DF5" w:rsidRDefault="00B40464" w:rsidP="00B40464">
      <w:pPr>
        <w:rPr>
          <w:bCs/>
        </w:rPr>
      </w:pPr>
      <w:r w:rsidRPr="003969F5">
        <w:rPr>
          <w:bCs/>
        </w:rPr>
        <w:t>Source:</w:t>
      </w:r>
      <w:r>
        <w:rPr>
          <w:bCs/>
        </w:rPr>
        <w:t xml:space="preserve"> </w:t>
      </w:r>
      <w:r w:rsidRPr="003969F5">
        <w:rPr>
          <w:bCs/>
        </w:rPr>
        <w:t>Google Scholar</w:t>
      </w:r>
    </w:p>
    <w:p w14:paraId="6CD68197" w14:textId="77777777" w:rsidR="00B40464" w:rsidRDefault="00B40464" w:rsidP="00B40464">
      <w:pPr>
        <w:rPr>
          <w:bCs/>
        </w:rPr>
      </w:pPr>
    </w:p>
    <w:p w14:paraId="7C367CC8" w14:textId="77777777" w:rsidR="00B40464" w:rsidRPr="003969F5" w:rsidRDefault="00B40464" w:rsidP="00B40464">
      <w:pPr>
        <w:rPr>
          <w:bCs/>
        </w:rPr>
      </w:pPr>
      <w:r w:rsidRPr="003969F5">
        <w:rPr>
          <w:bCs/>
        </w:rPr>
        <w:t xml:space="preserve">Based on these data, the characteristics of digital citizenship of </w:t>
      </w:r>
      <w:r>
        <w:rPr>
          <w:bCs/>
        </w:rPr>
        <w:t xml:space="preserve">Civic </w:t>
      </w:r>
      <w:r w:rsidRPr="003969F5">
        <w:rPr>
          <w:bCs/>
        </w:rPr>
        <w:t xml:space="preserve">teachers in Surabaya </w:t>
      </w:r>
      <w:r>
        <w:rPr>
          <w:bCs/>
        </w:rPr>
        <w:t xml:space="preserve">can </w:t>
      </w:r>
      <w:r w:rsidRPr="003969F5">
        <w:rPr>
          <w:bCs/>
        </w:rPr>
        <w:t>be described as follows</w:t>
      </w:r>
      <w:r>
        <w:rPr>
          <w:bCs/>
        </w:rPr>
        <w:t>.</w:t>
      </w:r>
    </w:p>
    <w:p w14:paraId="15F28CCC" w14:textId="77777777" w:rsidR="00B40464" w:rsidRDefault="00B40464" w:rsidP="00B40464">
      <w:pPr>
        <w:rPr>
          <w:b/>
        </w:rPr>
      </w:pPr>
    </w:p>
    <w:p w14:paraId="60F76D7D" w14:textId="17927E6E" w:rsidR="00B40464" w:rsidRPr="00B40464" w:rsidRDefault="00B40464" w:rsidP="00B40464">
      <w:pPr>
        <w:pStyle w:val="Heading10"/>
        <w:numPr>
          <w:ilvl w:val="1"/>
          <w:numId w:val="10"/>
        </w:numPr>
        <w:tabs>
          <w:tab w:val="left" w:pos="851"/>
        </w:tabs>
        <w:ind w:left="567" w:right="419" w:hanging="567"/>
        <w:rPr>
          <w:sz w:val="20"/>
        </w:rPr>
      </w:pPr>
      <w:r w:rsidRPr="00B40464">
        <w:rPr>
          <w:sz w:val="20"/>
        </w:rPr>
        <w:t>Digital Access of Civic Education Teachers in Surabaya City</w:t>
      </w:r>
    </w:p>
    <w:p w14:paraId="6A08F117" w14:textId="77777777" w:rsidR="00B40464" w:rsidRPr="00FF5060" w:rsidRDefault="00B40464" w:rsidP="00B40464">
      <w:pPr>
        <w:rPr>
          <w:b/>
        </w:rPr>
      </w:pPr>
    </w:p>
    <w:p w14:paraId="0F3050A5" w14:textId="1196DF59" w:rsidR="00B40464" w:rsidRDefault="0008228A" w:rsidP="00B40464">
      <w:pPr>
        <w:ind w:firstLine="720"/>
      </w:pPr>
      <w:r>
        <w:rPr>
          <w:lang w:val="id-ID"/>
        </w:rPr>
        <w:t>D</w:t>
      </w:r>
      <w:r w:rsidR="00B40464">
        <w:t>igital access</w:t>
      </w:r>
      <w:r w:rsidR="00B40464" w:rsidRPr="003969F5">
        <w:t xml:space="preserve"> is one of the most fundamental components to become a digital citizen. However, due to several factors, such as </w:t>
      </w:r>
      <w:r w:rsidR="00B40464">
        <w:t>socioeconomic</w:t>
      </w:r>
      <w:r w:rsidR="00B40464" w:rsidRPr="003969F5">
        <w:t xml:space="preserve"> status, domicile, disability, or others, some individuals may not have digital access. The easiest digital access often obtained in schools </w:t>
      </w:r>
      <w:r w:rsidR="00B40464">
        <w:t xml:space="preserve">is the use of </w:t>
      </w:r>
      <w:r w:rsidR="00B40464" w:rsidRPr="003969F5">
        <w:t xml:space="preserve">computers with the internet to make it easier for </w:t>
      </w:r>
      <w:r w:rsidR="00B40464">
        <w:t xml:space="preserve">students to </w:t>
      </w:r>
      <w:r w:rsidR="00B40464" w:rsidRPr="003969F5">
        <w:t>access information, while minimizing the digital divide due to these factors.</w:t>
      </w:r>
      <w:r w:rsidR="00B40464">
        <w:t xml:space="preserve"> In line with this argument, </w:t>
      </w:r>
      <w:r w:rsidR="00B40464" w:rsidRPr="003969F5">
        <w:t xml:space="preserve">based on research </w:t>
      </w:r>
      <w:r w:rsidR="00B40464">
        <w:t>conducted</w:t>
      </w:r>
      <w:r w:rsidR="00B40464" w:rsidRPr="003969F5">
        <w:t xml:space="preserve">, it was </w:t>
      </w:r>
      <w:r w:rsidR="00B40464">
        <w:t xml:space="preserve">found that </w:t>
      </w:r>
      <w:r w:rsidR="00B40464" w:rsidRPr="003969F5">
        <w:t xml:space="preserve">there </w:t>
      </w:r>
      <w:r w:rsidR="00B40464">
        <w:t>were problems</w:t>
      </w:r>
      <w:r w:rsidR="00B40464" w:rsidRPr="003969F5">
        <w:t xml:space="preserve"> experienced by teachers and students in terms of digital access, namely the implementation of </w:t>
      </w:r>
      <w:r w:rsidR="00B40464" w:rsidRPr="005E640A">
        <w:rPr>
          <w:i/>
        </w:rPr>
        <w:t>hybrid learning</w:t>
      </w:r>
      <w:r w:rsidR="00B40464" w:rsidRPr="003969F5">
        <w:t xml:space="preserve"> in </w:t>
      </w:r>
      <w:r w:rsidR="00B40464">
        <w:t xml:space="preserve">Civic </w:t>
      </w:r>
      <w:r w:rsidR="00B40464" w:rsidRPr="003969F5">
        <w:t>subjects</w:t>
      </w:r>
      <w:r w:rsidR="00B40464">
        <w:t xml:space="preserve">. The research of </w:t>
      </w:r>
      <w:r w:rsidR="00B40464" w:rsidRPr="0086728A">
        <w:t xml:space="preserve"> Putri &amp; Sari (2022)</w:t>
      </w:r>
      <w:r w:rsidR="00B40464" w:rsidRPr="003969F5">
        <w:t xml:space="preserve"> was carried out at SMA Negeri 16 Surabaya</w:t>
      </w:r>
      <w:r w:rsidR="00B40464">
        <w:t xml:space="preserve">. </w:t>
      </w:r>
    </w:p>
    <w:p w14:paraId="4B928390" w14:textId="77777777" w:rsidR="00B40464" w:rsidRDefault="00B40464" w:rsidP="00B40464">
      <w:pPr>
        <w:ind w:firstLine="720"/>
        <w:rPr>
          <w:b/>
          <w:bCs/>
        </w:rPr>
      </w:pPr>
      <w:r>
        <w:t>The technical</w:t>
      </w:r>
      <w:r w:rsidRPr="003969F5">
        <w:t xml:space="preserve"> problems</w:t>
      </w:r>
      <w:r>
        <w:t xml:space="preserve"> experienced include (</w:t>
      </w:r>
      <w:r w:rsidRPr="003969F5">
        <w:t>1) Lack of teacher understanding in the field of technology; (2) The quality of</w:t>
      </w:r>
      <w:r>
        <w:t xml:space="preserve"> the </w:t>
      </w:r>
      <w:r w:rsidRPr="005E640A">
        <w:rPr>
          <w:i/>
        </w:rPr>
        <w:t>Microsoft Teams</w:t>
      </w:r>
      <w:r>
        <w:t xml:space="preserve"> application is </w:t>
      </w:r>
      <w:r w:rsidRPr="003969F5">
        <w:t>not good; (3) Constrained by the internet network. This causes psychological constraints on teachers and learners who have difficulty focusing on learning, which can lead to a lack of interaction between teachers and learners.</w:t>
      </w:r>
    </w:p>
    <w:p w14:paraId="4ECDF8F0" w14:textId="77777777" w:rsidR="00B40464" w:rsidRDefault="00B40464" w:rsidP="00B40464">
      <w:pPr>
        <w:ind w:firstLine="720"/>
      </w:pPr>
      <w:r w:rsidRPr="003969F5">
        <w:t>Meanwhile, Research from Putri &amp;; Setyowati, (2021) conducted</w:t>
      </w:r>
      <w:r>
        <w:t xml:space="preserve"> at </w:t>
      </w:r>
      <w:r w:rsidRPr="0086728A">
        <w:t>SMA Lab</w:t>
      </w:r>
      <w:r>
        <w:t xml:space="preserve"> </w:t>
      </w:r>
      <w:r w:rsidRPr="0086728A">
        <w:t xml:space="preserve">school UNESA </w:t>
      </w:r>
      <w:r w:rsidRPr="003969F5">
        <w:t>found that</w:t>
      </w:r>
      <w:r>
        <w:t xml:space="preserve"> the school has implemented </w:t>
      </w:r>
      <w:r w:rsidRPr="00FF5060">
        <w:rPr>
          <w:iCs/>
        </w:rPr>
        <w:t>Digital Citizenship Education which is shown by providing facilities in the form of easy internet access at school or digital access.</w:t>
      </w:r>
      <w:r w:rsidRPr="003969F5">
        <w:t xml:space="preserve"> Integrating digital citizenship values in school regulations and programs in realizing digital rights and responsibilities, namely all forms of misuse of technology committed</w:t>
      </w:r>
      <w:r>
        <w:t xml:space="preserve"> by students</w:t>
      </w:r>
      <w:r w:rsidRPr="003969F5">
        <w:t xml:space="preserve"> will be acted upon by the school through homeroom teachers, BK teachers, and school discipline teams, there are also academic </w:t>
      </w:r>
      <w:r>
        <w:t>side</w:t>
      </w:r>
      <w:r w:rsidRPr="003969F5">
        <w:t xml:space="preserve"> activities, literacy weeks. Then provide an understanding of </w:t>
      </w:r>
      <w:r w:rsidRPr="005E640A">
        <w:rPr>
          <w:i/>
        </w:rPr>
        <w:t>digital etiquette</w:t>
      </w:r>
      <w:r>
        <w:t xml:space="preserve"> provided </w:t>
      </w:r>
      <w:r w:rsidRPr="003969F5">
        <w:t xml:space="preserve">through </w:t>
      </w:r>
      <w:r>
        <w:t>Civic</w:t>
      </w:r>
      <w:r w:rsidRPr="003969F5">
        <w:t xml:space="preserve"> and ICT learning. </w:t>
      </w:r>
    </w:p>
    <w:p w14:paraId="4ED3EFEB" w14:textId="77777777" w:rsidR="00B40464" w:rsidRDefault="00B40464" w:rsidP="00B40464">
      <w:pPr>
        <w:ind w:firstLine="720"/>
      </w:pPr>
      <w:r w:rsidRPr="003969F5">
        <w:lastRenderedPageBreak/>
        <w:t xml:space="preserve">In </w:t>
      </w:r>
      <w:r>
        <w:t>Civic</w:t>
      </w:r>
      <w:r w:rsidRPr="003969F5">
        <w:t xml:space="preserve"> learning, </w:t>
      </w:r>
      <w:r>
        <w:t>activities focus</w:t>
      </w:r>
      <w:r w:rsidRPr="003969F5">
        <w:t xml:space="preserve"> on the formation of values, morals</w:t>
      </w:r>
      <w:r>
        <w:t>,</w:t>
      </w:r>
      <w:r w:rsidRPr="003969F5">
        <w:t xml:space="preserve"> and character of </w:t>
      </w:r>
      <w:r>
        <w:t>students.</w:t>
      </w:r>
      <w:r w:rsidRPr="003969F5">
        <w:t xml:space="preserve"> while ICT learning focuses on providing IT theory and literacy</w:t>
      </w:r>
      <w:r>
        <w:t xml:space="preserve">, as </w:t>
      </w:r>
      <w:r w:rsidRPr="003969F5">
        <w:t>well as socialization activities related to learning systems, regulations</w:t>
      </w:r>
      <w:r>
        <w:t xml:space="preserve">, school </w:t>
      </w:r>
      <w:r w:rsidRPr="003969F5">
        <w:t>programs</w:t>
      </w:r>
      <w:r>
        <w:t>,</w:t>
      </w:r>
      <w:r w:rsidRPr="003969F5">
        <w:t xml:space="preserve"> and socialization about the use of technology and the impact of existing technological advances</w:t>
      </w:r>
      <w:r>
        <w:t>,</w:t>
      </w:r>
      <w:r w:rsidRPr="003969F5">
        <w:t xml:space="preserve"> where each year raises different themes or problems from school to all </w:t>
      </w:r>
      <w:r>
        <w:t>students</w:t>
      </w:r>
      <w:r w:rsidRPr="003969F5">
        <w:t xml:space="preserve"> and parents.</w:t>
      </w:r>
      <w:r>
        <w:t xml:space="preserve"> </w:t>
      </w:r>
    </w:p>
    <w:p w14:paraId="33A7F751" w14:textId="6403255D" w:rsidR="00B40464" w:rsidRDefault="00B40464" w:rsidP="00B40464">
      <w:pPr>
        <w:ind w:firstLine="720"/>
      </w:pPr>
      <w:r>
        <w:t xml:space="preserve">Digital access at SMA </w:t>
      </w:r>
      <w:r w:rsidRPr="00F83193">
        <w:t>Lab</w:t>
      </w:r>
      <w:r>
        <w:t xml:space="preserve"> </w:t>
      </w:r>
      <w:r w:rsidRPr="00F83193">
        <w:t>school UNESA</w:t>
      </w:r>
      <w:r>
        <w:t xml:space="preserve"> is already qualified, on the other hand, the </w:t>
      </w:r>
      <w:r w:rsidRPr="00F83193">
        <w:t>technical obstacles experienced</w:t>
      </w:r>
      <w:r>
        <w:t xml:space="preserve"> at </w:t>
      </w:r>
      <w:r w:rsidRPr="00F83193">
        <w:t>SMA Negeri 16</w:t>
      </w:r>
      <w:r>
        <w:t xml:space="preserve"> Surabaya by Civic teachers are a general description of the use of digital access in the city of Surabaya which is already running well, but requires improvement on the other hand, as who </w:t>
      </w:r>
      <w:r w:rsidRPr="00B741EE">
        <w:t>Stating that digital citizenship can be interpreted as digitalization in understanding, realizing and implementing the rights and obligations of citizens, it is an absolute thing to do digitally</w:t>
      </w:r>
      <w:r>
        <w:t xml:space="preserve">, which in the </w:t>
      </w:r>
      <w:r w:rsidRPr="00B741EE">
        <w:t>context</w:t>
      </w:r>
      <w:r>
        <w:t xml:space="preserve"> of civic education, civic </w:t>
      </w:r>
      <w:r w:rsidRPr="00B741EE">
        <w:t>knowledge, civic skills, and civic disposition is carried out digitally by citizens</w:t>
      </w:r>
      <w:r>
        <w:t>.</w:t>
      </w:r>
    </w:p>
    <w:p w14:paraId="4DC7BC4F" w14:textId="77777777" w:rsidR="00B40464" w:rsidRPr="003969F5" w:rsidRDefault="00B40464" w:rsidP="00B40464">
      <w:pPr>
        <w:ind w:firstLine="720"/>
        <w:rPr>
          <w:b/>
          <w:bCs/>
        </w:rPr>
      </w:pPr>
    </w:p>
    <w:p w14:paraId="02901365" w14:textId="77777777" w:rsidR="00B40464" w:rsidRPr="00B40464" w:rsidRDefault="00B40464" w:rsidP="00B40464">
      <w:pPr>
        <w:pStyle w:val="Heading10"/>
        <w:numPr>
          <w:ilvl w:val="1"/>
          <w:numId w:val="10"/>
        </w:numPr>
        <w:tabs>
          <w:tab w:val="left" w:pos="851"/>
        </w:tabs>
        <w:ind w:left="567" w:right="419" w:hanging="567"/>
        <w:rPr>
          <w:sz w:val="20"/>
        </w:rPr>
      </w:pPr>
      <w:r w:rsidRPr="00B40464">
        <w:rPr>
          <w:sz w:val="20"/>
        </w:rPr>
        <w:t>Digital Literacy of Civic Teachers in Surabaya</w:t>
      </w:r>
    </w:p>
    <w:p w14:paraId="6C44C45C" w14:textId="77777777" w:rsidR="00B40464" w:rsidRPr="00AB5DF5" w:rsidRDefault="00B40464" w:rsidP="00B40464">
      <w:pPr>
        <w:rPr>
          <w:b/>
          <w:bCs/>
        </w:rPr>
      </w:pPr>
    </w:p>
    <w:p w14:paraId="252DDFE2" w14:textId="5B73916D" w:rsidR="00B40464" w:rsidRPr="003969F5" w:rsidRDefault="00B40464" w:rsidP="00B40464">
      <w:pPr>
        <w:ind w:firstLine="360"/>
      </w:pPr>
      <w:r w:rsidRPr="00ED1AC9">
        <w:t xml:space="preserve">Digital </w:t>
      </w:r>
      <w:r>
        <w:t>l</w:t>
      </w:r>
      <w:r w:rsidRPr="00ED1AC9">
        <w:t xml:space="preserve">iteracy </w:t>
      </w:r>
      <w:r>
        <w:t xml:space="preserve">is defined as understanding and the ability to use digital literacy. Purbasari (2019) gave an example of </w:t>
      </w:r>
      <w:r w:rsidRPr="003969F5">
        <w:t xml:space="preserve">how to use </w:t>
      </w:r>
      <w:r>
        <w:t>g</w:t>
      </w:r>
      <w:r w:rsidRPr="003969F5">
        <w:t xml:space="preserve">oogle </w:t>
      </w:r>
      <w:r>
        <w:t>c</w:t>
      </w:r>
      <w:r w:rsidRPr="003969F5">
        <w:t>hrome as a means of finding information. This gives an understanding of how to use various digital devices.</w:t>
      </w:r>
      <w:r w:rsidR="00540DE3">
        <w:fldChar w:fldCharType="begin" w:fldLock="1"/>
      </w:r>
      <w:r w:rsidR="00540DE3">
        <w:instrText>ADDIN CSL_CITATION {"citationItems":[{"id":"ITEM-1","itemData":{"DOI":"10.11591/edulearn.v16i1.20390","ISSN":"2089-9823","abstract":"In the face of the COVID-19 pandemic, education in Indonesia has shifted from face-to-face learning to online learning via the internet and digital technology. Therefore, digital literacy is a skill needed by vocational students and teachers today. This study aimed to identify and analyze digital literacy competency indicators to improve the quality of learning in high vocational education. This research employed a systematic review method, especially a qualitative meta-ethnographic approach, by reviewing various studies related to digital literacy competencies from various journal articles and conferences to then carry out the synthesis process. Meta-ethnography as part of the systematic review method integrates data across studies to obtain new theories and concepts with a deeper and more thorough understanding. The results showed four competency factors and 28 indicators to improve digital literacy competence. This research can be the basis of creating a digital literacy assessment model for high vocational education in Indonesia.","author":[{"dropping-particle":"","family":"Wahjusaputri","given":"Sintha","non-dropping-particle":"","parse-names":false,"suffix":""},{"dropping-particle":"","family":"Nastiti","given":"Tashia Indah","non-dropping-particle":"","parse-names":false,"suffix":""}],"container-title":"Journal of Education and Learning (EduLearn)","id":"ITEM-1","issue":"1","issued":{"date-parts":[["2022"]]},"title":"Digital literacy competency indicator for Indonesian high vocational education needs","type":"article-journal","volume":"16"},"uris":["http://www.mendeley.com/documents/?uuid=0a445360-0106-347f-a68f-a57986bdb00b"]}],"mendeley":{"formattedCitation":"[8]","plainTextFormattedCitation":"[8]"},"properties":{"noteIndex":0},"schema":"https://github.com/citation-style-language/schema/raw/master/csl-citation.json"}</w:instrText>
      </w:r>
      <w:r w:rsidR="00540DE3">
        <w:fldChar w:fldCharType="separate"/>
      </w:r>
      <w:r w:rsidR="00540DE3" w:rsidRPr="00540DE3">
        <w:rPr>
          <w:noProof/>
        </w:rPr>
        <w:t>[8]</w:t>
      </w:r>
      <w:r w:rsidR="00540DE3">
        <w:fldChar w:fldCharType="end"/>
      </w:r>
      <w:r w:rsidRPr="003969F5">
        <w:t xml:space="preserve"> </w:t>
      </w:r>
    </w:p>
    <w:p w14:paraId="6BF29F37" w14:textId="77777777" w:rsidR="00B40464" w:rsidRDefault="00B40464" w:rsidP="00B40464">
      <w:pPr>
        <w:ind w:firstLine="360"/>
      </w:pPr>
      <w:r w:rsidRPr="003969F5">
        <w:t xml:space="preserve">Based on research from Habibah &amp; Harmanto (2020), it was found that </w:t>
      </w:r>
      <w:r>
        <w:t>Civic Education</w:t>
      </w:r>
      <w:r w:rsidRPr="003969F5">
        <w:t xml:space="preserve"> teachers in </w:t>
      </w:r>
      <w:r>
        <w:t xml:space="preserve">the </w:t>
      </w:r>
      <w:r w:rsidRPr="001F71FD">
        <w:t>Junior high school</w:t>
      </w:r>
      <w:r>
        <w:t xml:space="preserve"> of </w:t>
      </w:r>
      <w:r w:rsidRPr="003969F5">
        <w:t xml:space="preserve">Surabaya still have poor digital </w:t>
      </w:r>
      <w:r>
        <w:t>literacy</w:t>
      </w:r>
      <w:r w:rsidRPr="003969F5">
        <w:t xml:space="preserve"> which was seen when</w:t>
      </w:r>
      <w:r>
        <w:t xml:space="preserve"> a questionnaire was given </w:t>
      </w:r>
      <w:r w:rsidRPr="003969F5">
        <w:t xml:space="preserve">from a </w:t>
      </w:r>
      <w:r>
        <w:t>Google</w:t>
      </w:r>
      <w:r w:rsidRPr="003969F5">
        <w:t xml:space="preserve"> form to write a plan for making </w:t>
      </w:r>
      <w:r>
        <w:t xml:space="preserve">the </w:t>
      </w:r>
      <w:r w:rsidRPr="00B741EE">
        <w:rPr>
          <w:i/>
        </w:rPr>
        <w:t>best practices</w:t>
      </w:r>
      <w:r>
        <w:t xml:space="preserve"> through online learning, the data was found that there are </w:t>
      </w:r>
      <w:r w:rsidRPr="003969F5">
        <w:t>still many wrong answers including</w:t>
      </w:r>
      <w:r>
        <w:t xml:space="preserve">: 1) </w:t>
      </w:r>
      <w:r w:rsidRPr="003969F5">
        <w:t>Online</w:t>
      </w:r>
      <w:r>
        <w:t xml:space="preserve">,   </w:t>
      </w:r>
      <w:r w:rsidRPr="003969F5">
        <w:t>2</w:t>
      </w:r>
      <w:r>
        <w:t xml:space="preserve">) </w:t>
      </w:r>
      <w:r w:rsidRPr="003969F5">
        <w:t xml:space="preserve">Overcoming </w:t>
      </w:r>
      <w:r>
        <w:t xml:space="preserve">students' difficulties </w:t>
      </w:r>
      <w:r w:rsidRPr="003969F5">
        <w:t xml:space="preserve"> in understanding learning during a pandemic</w:t>
      </w:r>
      <w:r>
        <w:t xml:space="preserve">, </w:t>
      </w:r>
      <w:r w:rsidRPr="003969F5">
        <w:t>3</w:t>
      </w:r>
      <w:r>
        <w:t xml:space="preserve">). </w:t>
      </w:r>
      <w:r w:rsidRPr="003969F5">
        <w:t>Parents' interest in school development concerns</w:t>
      </w:r>
      <w:r>
        <w:t xml:space="preserve">, 4). </w:t>
      </w:r>
      <w:r w:rsidRPr="003969F5">
        <w:t xml:space="preserve">Learning that facilitates and attracts </w:t>
      </w:r>
      <w:r>
        <w:t xml:space="preserve">learners, 5). </w:t>
      </w:r>
      <w:r w:rsidRPr="003969F5">
        <w:t>Learning Experience during a Pandemic</w:t>
      </w:r>
      <w:r>
        <w:t xml:space="preserve">, 6).  conducting conventional supervision  </w:t>
      </w:r>
      <w:r w:rsidRPr="003969F5">
        <w:t xml:space="preserve">(online), conducting academic supervision </w:t>
      </w:r>
      <w:r>
        <w:t xml:space="preserve"> , </w:t>
      </w:r>
      <w:r w:rsidRPr="003969F5">
        <w:t>preparing instruments</w:t>
      </w:r>
      <w:r>
        <w:t>,</w:t>
      </w:r>
      <w:r w:rsidRPr="003969F5">
        <w:t xml:space="preserve"> etc</w:t>
      </w:r>
      <w:r>
        <w:t xml:space="preserve">., </w:t>
      </w:r>
      <w:r w:rsidRPr="003969F5">
        <w:t>7</w:t>
      </w:r>
      <w:r>
        <w:t xml:space="preserve">). </w:t>
      </w:r>
      <w:r w:rsidRPr="003969F5">
        <w:t>Mastery of teachers in the IT field (making learning videos),</w:t>
      </w:r>
      <w:r>
        <w:t xml:space="preserve"> </w:t>
      </w:r>
      <w:r w:rsidRPr="003969F5">
        <w:t>8</w:t>
      </w:r>
      <w:r>
        <w:t>)</w:t>
      </w:r>
      <w:r w:rsidRPr="003969F5">
        <w:t>.</w:t>
      </w:r>
      <w:r>
        <w:t xml:space="preserve"> </w:t>
      </w:r>
      <w:r w:rsidRPr="003969F5">
        <w:t>Lesson plans</w:t>
      </w:r>
      <w:r>
        <w:t xml:space="preserve">, </w:t>
      </w:r>
      <w:r w:rsidRPr="003969F5">
        <w:t>9</w:t>
      </w:r>
      <w:r>
        <w:t>)</w:t>
      </w:r>
      <w:r w:rsidRPr="003969F5">
        <w:t>.</w:t>
      </w:r>
      <w:r>
        <w:t xml:space="preserve"> </w:t>
      </w:r>
      <w:r w:rsidRPr="003969F5">
        <w:t xml:space="preserve">emphasize </w:t>
      </w:r>
      <w:r>
        <w:t>discipline</w:t>
      </w:r>
      <w:r w:rsidRPr="003969F5">
        <w:t xml:space="preserve"> distance learning.</w:t>
      </w:r>
    </w:p>
    <w:p w14:paraId="55D2F112" w14:textId="77777777" w:rsidR="00B40464" w:rsidRDefault="00B40464" w:rsidP="00B40464">
      <w:pPr>
        <w:ind w:firstLine="360"/>
      </w:pPr>
      <w:r w:rsidRPr="003969F5">
        <w:t>However</w:t>
      </w:r>
      <w:r>
        <w:t>, some participants understand</w:t>
      </w:r>
      <w:r w:rsidRPr="003969F5">
        <w:t xml:space="preserve"> well the Best Practice preparation plan</w:t>
      </w:r>
      <w:r>
        <w:t xml:space="preserve"> from online learning in terms of digital literacy</w:t>
      </w:r>
      <w:r w:rsidRPr="003969F5">
        <w:t xml:space="preserve"> writing plans well</w:t>
      </w:r>
      <w:r>
        <w:t xml:space="preserve">,  but there are still </w:t>
      </w:r>
      <w:r w:rsidRPr="003969F5">
        <w:t xml:space="preserve">some </w:t>
      </w:r>
      <w:r>
        <w:t xml:space="preserve">people </w:t>
      </w:r>
      <w:r w:rsidRPr="003969F5">
        <w:t>who have not been directed, including; 1</w:t>
      </w:r>
      <w:r>
        <w:t>)</w:t>
      </w:r>
      <w:r w:rsidRPr="003969F5">
        <w:t xml:space="preserve">. Online Learning through Google Site Application assignments at </w:t>
      </w:r>
      <w:r w:rsidRPr="001F71FD">
        <w:t xml:space="preserve">the Junior high school </w:t>
      </w:r>
      <w:r w:rsidRPr="003969F5">
        <w:t>10 Surabaya</w:t>
      </w:r>
      <w:r>
        <w:t xml:space="preserve">, </w:t>
      </w:r>
      <w:r w:rsidRPr="003969F5">
        <w:t>2</w:t>
      </w:r>
      <w:r>
        <w:t>)</w:t>
      </w:r>
      <w:r w:rsidRPr="003969F5">
        <w:t>. About the use of quizziz</w:t>
      </w:r>
      <w:r>
        <w:t xml:space="preserve">, </w:t>
      </w:r>
      <w:r w:rsidRPr="003969F5">
        <w:t>3</w:t>
      </w:r>
      <w:r>
        <w:t>)</w:t>
      </w:r>
      <w:r w:rsidRPr="003969F5">
        <w:t xml:space="preserve">. The use of the goggle classroom application in online learning in </w:t>
      </w:r>
      <w:r>
        <w:t xml:space="preserve">Civic </w:t>
      </w:r>
      <w:r w:rsidRPr="003969F5">
        <w:t>subjects at Negeri 35 Surabaya</w:t>
      </w:r>
      <w:r>
        <w:t xml:space="preserve">, </w:t>
      </w:r>
      <w:r w:rsidRPr="003969F5">
        <w:t>4</w:t>
      </w:r>
      <w:r>
        <w:t>)</w:t>
      </w:r>
      <w:r w:rsidRPr="003969F5">
        <w:t>. Online learning plan in the form of making PPT, Quiz via WAG,</w:t>
      </w:r>
      <w:r>
        <w:t xml:space="preserve"> </w:t>
      </w:r>
      <w:r w:rsidRPr="003969F5">
        <w:t>5</w:t>
      </w:r>
      <w:r>
        <w:t>)</w:t>
      </w:r>
      <w:r w:rsidRPr="003969F5">
        <w:t>. Learning planning and material delivery through WAG and links</w:t>
      </w:r>
      <w:r>
        <w:t xml:space="preserve">, </w:t>
      </w:r>
      <w:r w:rsidRPr="003969F5">
        <w:t>6</w:t>
      </w:r>
      <w:r>
        <w:t>)</w:t>
      </w:r>
      <w:r w:rsidRPr="003969F5">
        <w:t xml:space="preserve">. Online learning through </w:t>
      </w:r>
      <w:r>
        <w:t>e-learning</w:t>
      </w:r>
      <w:r w:rsidRPr="003969F5">
        <w:t xml:space="preserve"> candy</w:t>
      </w:r>
      <w:r>
        <w:t xml:space="preserve">, </w:t>
      </w:r>
      <w:r w:rsidRPr="003969F5">
        <w:t>7</w:t>
      </w:r>
      <w:r>
        <w:t xml:space="preserve">). </w:t>
      </w:r>
      <w:r w:rsidRPr="003969F5">
        <w:t>About the use of quizziz u</w:t>
      </w:r>
      <w:r>
        <w:t>n</w:t>
      </w:r>
      <w:r w:rsidRPr="003969F5">
        <w:t>t</w:t>
      </w:r>
      <w:r>
        <w:t>u</w:t>
      </w:r>
      <w:r w:rsidRPr="003969F5">
        <w:t>k distance learning</w:t>
      </w:r>
      <w:r>
        <w:t xml:space="preserve"> media, </w:t>
      </w:r>
      <w:r w:rsidRPr="003969F5">
        <w:t>8</w:t>
      </w:r>
      <w:r>
        <w:t>)</w:t>
      </w:r>
      <w:r w:rsidRPr="003969F5">
        <w:t>. Learning plans through Microsoft 365 that are hyperlinked are shared through WAG.</w:t>
      </w:r>
    </w:p>
    <w:p w14:paraId="1877358E" w14:textId="096FC4AD" w:rsidR="00B40464" w:rsidRDefault="0008228A" w:rsidP="00B40464">
      <w:pPr>
        <w:ind w:firstLine="360"/>
      </w:pPr>
      <w:r>
        <w:rPr>
          <w:lang w:val="id-ID"/>
        </w:rPr>
        <w:t>D</w:t>
      </w:r>
      <w:r w:rsidR="00B40464" w:rsidRPr="003969F5">
        <w:t>igital litera</w:t>
      </w:r>
      <w:r w:rsidR="00B40464">
        <w:t>cy</w:t>
      </w:r>
      <w:r w:rsidR="00B40464" w:rsidRPr="003969F5">
        <w:t xml:space="preserve"> </w:t>
      </w:r>
      <w:r w:rsidR="00B40464">
        <w:t xml:space="preserve">at </w:t>
      </w:r>
      <w:r w:rsidR="00B40464" w:rsidRPr="00406A9F">
        <w:t xml:space="preserve">SMAN 12 </w:t>
      </w:r>
      <w:r w:rsidR="00B40464" w:rsidRPr="003969F5">
        <w:t xml:space="preserve">shows </w:t>
      </w:r>
      <w:r w:rsidR="00B40464">
        <w:t xml:space="preserve">that the use of digital literacy is relatively new, namely through </w:t>
      </w:r>
      <w:r w:rsidR="00B40464" w:rsidRPr="003969F5">
        <w:t xml:space="preserve">m-learning learning media with the Telegram application BOT API in </w:t>
      </w:r>
      <w:r w:rsidR="00B40464">
        <w:lastRenderedPageBreak/>
        <w:t xml:space="preserve">Civic </w:t>
      </w:r>
      <w:r w:rsidR="00B40464" w:rsidRPr="003969F5">
        <w:t>subjects, system materials</w:t>
      </w:r>
      <w:r w:rsidR="00B40464">
        <w:t>,</w:t>
      </w:r>
      <w:r w:rsidR="00B40464" w:rsidRPr="003969F5">
        <w:t xml:space="preserve"> and dynamics of Pancasila democracy according to the NRI Constitution of </w:t>
      </w:r>
      <w:r w:rsidR="00B40464">
        <w:t xml:space="preserve"> </w:t>
      </w:r>
      <w:r w:rsidR="00B40464" w:rsidRPr="003969F5">
        <w:t>1945</w:t>
      </w:r>
      <w:r w:rsidR="00B40464">
        <w:t xml:space="preserve"> is considered </w:t>
      </w:r>
      <w:r w:rsidR="00B40464" w:rsidRPr="003969F5">
        <w:t>feasible</w:t>
      </w:r>
      <w:r w:rsidR="00B40464">
        <w:t xml:space="preserve"> by Civic teachers</w:t>
      </w:r>
      <w:r w:rsidR="00B40464" w:rsidRPr="003969F5">
        <w:t xml:space="preserve"> for use by all grade XI students at </w:t>
      </w:r>
      <w:r w:rsidR="00B40464">
        <w:t xml:space="preserve">Senior High School </w:t>
      </w:r>
      <w:r w:rsidR="00B40464" w:rsidRPr="003969F5">
        <w:t>12 Surabaya. M-learning learning media with the Telegram application BOT API was developed to provide ease of learning and practice with multimedia elements</w:t>
      </w:r>
      <w:r w:rsidR="00B40464">
        <w:t xml:space="preserve"> to create</w:t>
      </w:r>
      <w:r w:rsidR="00B40464" w:rsidRPr="003969F5">
        <w:t xml:space="preserve"> a more concrete learning experience.</w:t>
      </w:r>
    </w:p>
    <w:p w14:paraId="304E3F49" w14:textId="77777777" w:rsidR="00B40464" w:rsidRDefault="00B40464" w:rsidP="00B40464">
      <w:pPr>
        <w:ind w:firstLine="360"/>
      </w:pPr>
      <w:r w:rsidRPr="003969F5">
        <w:t xml:space="preserve">The final product of the learning media </w:t>
      </w:r>
      <w:r>
        <w:t>is said to have the</w:t>
      </w:r>
      <w:r w:rsidRPr="003969F5">
        <w:t xml:space="preserve"> main advantage that it can be used on mobile devices with Android, IOS, and Windows phone operating systems. Behind the advantages it</w:t>
      </w:r>
      <w:r>
        <w:t xml:space="preserve"> has, </w:t>
      </w:r>
      <w:r w:rsidRPr="003969F5">
        <w:t xml:space="preserve">this media still has disadvantages, such as not </w:t>
      </w:r>
      <w:r>
        <w:t xml:space="preserve">being </w:t>
      </w:r>
      <w:r w:rsidRPr="003969F5">
        <w:t>recommended for the implementation of exams, because there are opportunities for students to open the material menu or browser. The use of m-learning learning media BOT API Telegram application called Gonesia</w:t>
      </w:r>
      <w:r>
        <w:t>, in general,</w:t>
      </w:r>
      <w:r w:rsidRPr="003969F5">
        <w:t xml:space="preserve"> is a solution that prioritizes aspects of convenience and economy, profitable to be used in the teaching and learning process</w:t>
      </w:r>
      <w:r>
        <w:t xml:space="preserve"> of Civic material by Civic Education teachers.</w:t>
      </w:r>
    </w:p>
    <w:p w14:paraId="44DE9DEC" w14:textId="77777777" w:rsidR="00B40464" w:rsidRPr="003969F5" w:rsidRDefault="00B40464" w:rsidP="00B40464">
      <w:pPr>
        <w:ind w:firstLine="360"/>
      </w:pPr>
      <w:r>
        <w:t xml:space="preserve">Based on these data, there is a diversity of digital characteristics of Civic teachers in terms of digital literacy, namely among teachers who already know digital use with digital access in the form of </w:t>
      </w:r>
      <w:r w:rsidRPr="00EB0C79">
        <w:t>m-learning with the Telegram application BOT API</w:t>
      </w:r>
      <w:r>
        <w:t xml:space="preserve"> such as in Senior High School </w:t>
      </w:r>
      <w:r w:rsidRPr="00EB0C79">
        <w:t>12</w:t>
      </w:r>
      <w:r>
        <w:t xml:space="preserve"> in  Civic learning. On the other hand, it is still </w:t>
      </w:r>
      <w:r w:rsidRPr="00EB0C79">
        <w:t xml:space="preserve">found that </w:t>
      </w:r>
      <w:r>
        <w:t xml:space="preserve">the Civic Education of junior high school </w:t>
      </w:r>
      <w:r w:rsidRPr="00EB0C79">
        <w:t xml:space="preserve">teachers in Surabaya still </w:t>
      </w:r>
      <w:r>
        <w:t>has</w:t>
      </w:r>
      <w:r w:rsidRPr="00EB0C79">
        <w:t xml:space="preserve"> poor digital litera</w:t>
      </w:r>
      <w:r>
        <w:t xml:space="preserve">cy and is less purposeful. Digital literacy by Civic teachers is also influenced by digital access developed in schools, as said by Purbasari (2019) that </w:t>
      </w:r>
      <w:r w:rsidRPr="00EB0C79">
        <w:t>factors, such as socioeconomic status, domicile, disability, or others</w:t>
      </w:r>
      <w:r>
        <w:t xml:space="preserve"> affect digital skills.</w:t>
      </w:r>
    </w:p>
    <w:p w14:paraId="6F8CAAD6" w14:textId="77777777" w:rsidR="00B40464" w:rsidRPr="00B40464" w:rsidRDefault="00B40464" w:rsidP="00B40464"/>
    <w:p w14:paraId="2CE35E67" w14:textId="77777777" w:rsidR="00552A7B" w:rsidRPr="006F30AE" w:rsidRDefault="00552A7B" w:rsidP="00552A7B">
      <w:pPr>
        <w:pStyle w:val="Heading10"/>
        <w:numPr>
          <w:ilvl w:val="0"/>
          <w:numId w:val="10"/>
        </w:numPr>
        <w:tabs>
          <w:tab w:val="num" w:pos="227"/>
          <w:tab w:val="left" w:pos="993"/>
        </w:tabs>
        <w:spacing w:before="1"/>
        <w:ind w:left="227" w:hanging="320"/>
        <w:rPr>
          <w:sz w:val="20"/>
        </w:rPr>
      </w:pPr>
      <w:bookmarkStart w:id="2" w:name="4_Conclusion"/>
      <w:bookmarkEnd w:id="2"/>
      <w:r w:rsidRPr="006F30AE">
        <w:rPr>
          <w:sz w:val="20"/>
        </w:rPr>
        <w:t>Conclusion</w:t>
      </w:r>
    </w:p>
    <w:p w14:paraId="07527FC1" w14:textId="77777777" w:rsidR="006F30AE" w:rsidRPr="006F30AE" w:rsidRDefault="006F30AE" w:rsidP="006F30AE">
      <w:pPr>
        <w:ind w:firstLine="0"/>
      </w:pPr>
      <w:r w:rsidRPr="006F30AE">
        <w:t>The characteristics of digital citizenship in terms of digital access and digital literacy of Civic teachers in the city of Surabaya generally show that Civic education teachers in the city of Surabaya have been able to access the internet and have basic knowledge of digital literacy for the benefit of learning in the classroom using various learning resources for civic education learning.</w:t>
      </w:r>
      <w:bookmarkStart w:id="3" w:name="_Hlk142545075"/>
    </w:p>
    <w:bookmarkEnd w:id="3"/>
    <w:p w14:paraId="0EE3925A" w14:textId="33114F6B" w:rsidR="006F30AE" w:rsidRPr="006F30AE" w:rsidRDefault="006F30AE" w:rsidP="006F30AE">
      <w:pPr>
        <w:ind w:firstLine="0"/>
        <w:rPr>
          <w:b/>
        </w:rPr>
      </w:pPr>
      <w:r w:rsidRPr="006F30AE">
        <w:rPr>
          <w:b/>
        </w:rPr>
        <w:t xml:space="preserve">Acknowledgment </w:t>
      </w:r>
      <w:r w:rsidRPr="006F30AE">
        <w:t>Thank you to all parties involved in assisting with this research.</w:t>
      </w:r>
    </w:p>
    <w:p w14:paraId="644110B6" w14:textId="77777777" w:rsidR="00552A7B" w:rsidRDefault="00552A7B" w:rsidP="00552A7B">
      <w:pPr>
        <w:pStyle w:val="BodyText"/>
        <w:ind w:left="993" w:right="419"/>
        <w:jc w:val="left"/>
      </w:pPr>
    </w:p>
    <w:p w14:paraId="2F2AFB32" w14:textId="1FD8E0D7" w:rsidR="00552A7B" w:rsidRDefault="00552A7B" w:rsidP="00D64B90">
      <w:pPr>
        <w:pStyle w:val="Heading10"/>
        <w:tabs>
          <w:tab w:val="left" w:pos="993"/>
        </w:tabs>
        <w:spacing w:before="1"/>
        <w:rPr>
          <w:sz w:val="20"/>
        </w:rPr>
      </w:pPr>
      <w:bookmarkStart w:id="4" w:name="References"/>
      <w:bookmarkEnd w:id="4"/>
      <w:r w:rsidRPr="001F7440">
        <w:rPr>
          <w:sz w:val="20"/>
        </w:rPr>
        <w:t>References</w:t>
      </w:r>
    </w:p>
    <w:p w14:paraId="104BF55E" w14:textId="4F927B29" w:rsidR="00540DE3" w:rsidRPr="00540DE3" w:rsidRDefault="0008228A" w:rsidP="00540DE3">
      <w:pPr>
        <w:widowControl w:val="0"/>
        <w:ind w:left="640" w:hanging="640"/>
        <w:rPr>
          <w:noProof/>
          <w:szCs w:val="24"/>
        </w:rPr>
      </w:pPr>
      <w:r>
        <w:fldChar w:fldCharType="begin" w:fldLock="1"/>
      </w:r>
      <w:r>
        <w:instrText xml:space="preserve">ADDIN Mendeley Bibliography CSL_BIBLIOGRAPHY </w:instrText>
      </w:r>
      <w:r>
        <w:fldChar w:fldCharType="separate"/>
      </w:r>
      <w:r w:rsidR="00540DE3" w:rsidRPr="00540DE3">
        <w:rPr>
          <w:noProof/>
          <w:szCs w:val="24"/>
        </w:rPr>
        <w:t>[1]</w:t>
      </w:r>
      <w:r w:rsidR="00540DE3" w:rsidRPr="00540DE3">
        <w:rPr>
          <w:noProof/>
          <w:szCs w:val="24"/>
        </w:rPr>
        <w:tab/>
        <w:t xml:space="preserve">W. B. Sulfemi, “Model Pembelajaran Kooperatif Mind Mapping Berbantu Audio Visual dalam Meningkatkan Minat, Motivasi, dan Hasil Belajar IPS,” </w:t>
      </w:r>
      <w:r w:rsidR="00540DE3" w:rsidRPr="00540DE3">
        <w:rPr>
          <w:i/>
          <w:iCs/>
          <w:noProof/>
          <w:szCs w:val="24"/>
        </w:rPr>
        <w:t>J. PIPSI</w:t>
      </w:r>
      <w:r w:rsidR="00540DE3" w:rsidRPr="00540DE3">
        <w:rPr>
          <w:noProof/>
          <w:szCs w:val="24"/>
        </w:rPr>
        <w:t>, vol. 4, no. 1, pp. 13–19, 2021.</w:t>
      </w:r>
    </w:p>
    <w:p w14:paraId="4D10D5B7" w14:textId="77777777" w:rsidR="00540DE3" w:rsidRPr="00540DE3" w:rsidRDefault="00540DE3" w:rsidP="00540DE3">
      <w:pPr>
        <w:widowControl w:val="0"/>
        <w:ind w:left="640" w:hanging="640"/>
        <w:rPr>
          <w:noProof/>
          <w:szCs w:val="24"/>
        </w:rPr>
      </w:pPr>
      <w:r w:rsidRPr="00540DE3">
        <w:rPr>
          <w:noProof/>
          <w:szCs w:val="24"/>
        </w:rPr>
        <w:t>[2]</w:t>
      </w:r>
      <w:r w:rsidRPr="00540DE3">
        <w:rPr>
          <w:noProof/>
          <w:szCs w:val="24"/>
        </w:rPr>
        <w:tab/>
        <w:t>P. Farren, “Transformative Pedagogy,” vol. 00, 2015.</w:t>
      </w:r>
    </w:p>
    <w:p w14:paraId="19E39AA9" w14:textId="77777777" w:rsidR="00540DE3" w:rsidRPr="00540DE3" w:rsidRDefault="00540DE3" w:rsidP="00540DE3">
      <w:pPr>
        <w:widowControl w:val="0"/>
        <w:ind w:left="640" w:hanging="640"/>
        <w:rPr>
          <w:noProof/>
          <w:szCs w:val="24"/>
        </w:rPr>
      </w:pPr>
      <w:r w:rsidRPr="00540DE3">
        <w:rPr>
          <w:noProof/>
          <w:szCs w:val="24"/>
        </w:rPr>
        <w:t>[3]</w:t>
      </w:r>
      <w:r w:rsidRPr="00540DE3">
        <w:rPr>
          <w:noProof/>
          <w:szCs w:val="24"/>
        </w:rPr>
        <w:tab/>
        <w:t xml:space="preserve">M. Eder and F. Mast, “On the application of Augmented Reality in a learning factory working environment,” </w:t>
      </w:r>
      <w:r w:rsidRPr="00540DE3">
        <w:rPr>
          <w:i/>
          <w:iCs/>
          <w:noProof/>
          <w:szCs w:val="24"/>
        </w:rPr>
        <w:t>Procedia Manuf.</w:t>
      </w:r>
      <w:r w:rsidRPr="00540DE3">
        <w:rPr>
          <w:noProof/>
          <w:szCs w:val="24"/>
        </w:rPr>
        <w:t>, vol. 45, pp. 7–12, 2020, doi: 10.1016/j.promfg.2020.04.030.</w:t>
      </w:r>
    </w:p>
    <w:p w14:paraId="4BB0FC51" w14:textId="77777777" w:rsidR="00540DE3" w:rsidRPr="00540DE3" w:rsidRDefault="00540DE3" w:rsidP="00540DE3">
      <w:pPr>
        <w:widowControl w:val="0"/>
        <w:ind w:left="640" w:hanging="640"/>
        <w:rPr>
          <w:noProof/>
          <w:szCs w:val="24"/>
        </w:rPr>
      </w:pPr>
      <w:r w:rsidRPr="00540DE3">
        <w:rPr>
          <w:noProof/>
          <w:szCs w:val="24"/>
        </w:rPr>
        <w:t>[4]</w:t>
      </w:r>
      <w:r w:rsidRPr="00540DE3">
        <w:rPr>
          <w:noProof/>
          <w:szCs w:val="24"/>
        </w:rPr>
        <w:tab/>
        <w:t xml:space="preserve">Ilham, M. Apriliyanti, H. C. B. Setiawan, and M. Yazid, “Digital Literacy and Increased Utilization of Higher Education E-Learning in Indonesia: A Literature Review.,” </w:t>
      </w:r>
      <w:r w:rsidRPr="00540DE3">
        <w:rPr>
          <w:i/>
          <w:iCs/>
          <w:noProof/>
          <w:szCs w:val="24"/>
        </w:rPr>
        <w:t>Libr. Philos. Pract.</w:t>
      </w:r>
      <w:r w:rsidRPr="00540DE3">
        <w:rPr>
          <w:noProof/>
          <w:szCs w:val="24"/>
        </w:rPr>
        <w:t>, 2022.</w:t>
      </w:r>
    </w:p>
    <w:p w14:paraId="5FCC8EBC" w14:textId="77777777" w:rsidR="00540DE3" w:rsidRPr="00540DE3" w:rsidRDefault="00540DE3" w:rsidP="00540DE3">
      <w:pPr>
        <w:widowControl w:val="0"/>
        <w:ind w:left="640" w:hanging="640"/>
        <w:rPr>
          <w:noProof/>
          <w:szCs w:val="24"/>
        </w:rPr>
      </w:pPr>
      <w:r w:rsidRPr="00540DE3">
        <w:rPr>
          <w:noProof/>
          <w:szCs w:val="24"/>
        </w:rPr>
        <w:t>[5]</w:t>
      </w:r>
      <w:r w:rsidRPr="00540DE3">
        <w:rPr>
          <w:noProof/>
          <w:szCs w:val="24"/>
        </w:rPr>
        <w:tab/>
        <w:t xml:space="preserve">T. Harsiati, “Karakteristik Soal Literasi Membaca pada Program PISA,” </w:t>
      </w:r>
      <w:r w:rsidRPr="00540DE3">
        <w:rPr>
          <w:i/>
          <w:iCs/>
          <w:noProof/>
          <w:szCs w:val="24"/>
        </w:rPr>
        <w:t>LITERA</w:t>
      </w:r>
      <w:r w:rsidRPr="00540DE3">
        <w:rPr>
          <w:noProof/>
          <w:szCs w:val="24"/>
        </w:rPr>
        <w:t>, vol. 17, no. 1/Maret, 2018.</w:t>
      </w:r>
    </w:p>
    <w:p w14:paraId="458C9DEF" w14:textId="77777777" w:rsidR="00540DE3" w:rsidRPr="00540DE3" w:rsidRDefault="00540DE3" w:rsidP="00540DE3">
      <w:pPr>
        <w:widowControl w:val="0"/>
        <w:ind w:left="640" w:hanging="640"/>
        <w:rPr>
          <w:noProof/>
          <w:szCs w:val="24"/>
        </w:rPr>
      </w:pPr>
      <w:r w:rsidRPr="00540DE3">
        <w:rPr>
          <w:noProof/>
          <w:szCs w:val="24"/>
        </w:rPr>
        <w:lastRenderedPageBreak/>
        <w:t>[6]</w:t>
      </w:r>
      <w:r w:rsidRPr="00540DE3">
        <w:rPr>
          <w:noProof/>
          <w:szCs w:val="24"/>
        </w:rPr>
        <w:tab/>
        <w:t xml:space="preserve">G. K. Nathanael, “Trend of Digital Literacy Skill Research in Communication Education Journals across Indonesia: from Research Design to Data Analysis,” </w:t>
      </w:r>
      <w:r w:rsidRPr="00540DE3">
        <w:rPr>
          <w:i/>
          <w:iCs/>
          <w:noProof/>
          <w:szCs w:val="24"/>
        </w:rPr>
        <w:t>IKRA-ITH Hum.  J. Sos. dan Hum.</w:t>
      </w:r>
      <w:r w:rsidRPr="00540DE3">
        <w:rPr>
          <w:noProof/>
          <w:szCs w:val="24"/>
        </w:rPr>
        <w:t>, vol. 7, no. 2, 2022, doi: 10.37817/ikraith-humaniora.v7i2.2295.</w:t>
      </w:r>
    </w:p>
    <w:p w14:paraId="3E93B949" w14:textId="77777777" w:rsidR="00540DE3" w:rsidRPr="00540DE3" w:rsidRDefault="00540DE3" w:rsidP="00540DE3">
      <w:pPr>
        <w:widowControl w:val="0"/>
        <w:ind w:left="640" w:hanging="640"/>
        <w:rPr>
          <w:noProof/>
          <w:szCs w:val="24"/>
        </w:rPr>
      </w:pPr>
      <w:r w:rsidRPr="00540DE3">
        <w:rPr>
          <w:noProof/>
          <w:szCs w:val="24"/>
        </w:rPr>
        <w:t>[7]</w:t>
      </w:r>
      <w:r w:rsidRPr="00540DE3">
        <w:rPr>
          <w:noProof/>
          <w:szCs w:val="24"/>
        </w:rPr>
        <w:tab/>
        <w:t xml:space="preserve">F. Suwana and Lily, “Empowering Indonesian women through building digital media literacy,” </w:t>
      </w:r>
      <w:r w:rsidRPr="00540DE3">
        <w:rPr>
          <w:i/>
          <w:iCs/>
          <w:noProof/>
          <w:szCs w:val="24"/>
        </w:rPr>
        <w:t>Kasetsart J. Soc. Sci.</w:t>
      </w:r>
      <w:r w:rsidRPr="00540DE3">
        <w:rPr>
          <w:noProof/>
          <w:szCs w:val="24"/>
        </w:rPr>
        <w:t>, vol. 38, no. 3, 2017, doi: 10.1016/j.kjss.2016.10.004.</w:t>
      </w:r>
    </w:p>
    <w:p w14:paraId="4437E8BB" w14:textId="77777777" w:rsidR="00540DE3" w:rsidRPr="00540DE3" w:rsidRDefault="00540DE3" w:rsidP="00540DE3">
      <w:pPr>
        <w:widowControl w:val="0"/>
        <w:ind w:left="640" w:hanging="640"/>
        <w:rPr>
          <w:noProof/>
        </w:rPr>
      </w:pPr>
      <w:r w:rsidRPr="00540DE3">
        <w:rPr>
          <w:noProof/>
          <w:szCs w:val="24"/>
        </w:rPr>
        <w:t>[8]</w:t>
      </w:r>
      <w:r w:rsidRPr="00540DE3">
        <w:rPr>
          <w:noProof/>
          <w:szCs w:val="24"/>
        </w:rPr>
        <w:tab/>
        <w:t xml:space="preserve">S. Wahjusaputri and T. I. Nastiti, “Digital literacy competency indicator for Indonesian high vocational education needs,” </w:t>
      </w:r>
      <w:r w:rsidRPr="00540DE3">
        <w:rPr>
          <w:i/>
          <w:iCs/>
          <w:noProof/>
          <w:szCs w:val="24"/>
        </w:rPr>
        <w:t>J. Educ. Learn.</w:t>
      </w:r>
      <w:r w:rsidRPr="00540DE3">
        <w:rPr>
          <w:noProof/>
          <w:szCs w:val="24"/>
        </w:rPr>
        <w:t>, vol. 16, no. 1, 2022, doi: 10.11591/edulearn.v16i1.20390.</w:t>
      </w:r>
    </w:p>
    <w:p w14:paraId="3813D677" w14:textId="774A594D" w:rsidR="0008228A" w:rsidRPr="00A80CD5" w:rsidRDefault="0008228A" w:rsidP="0008228A">
      <w:pPr>
        <w:widowControl w:val="0"/>
        <w:ind w:left="640" w:hanging="640"/>
      </w:pPr>
      <w:r>
        <w:fldChar w:fldCharType="end"/>
      </w:r>
    </w:p>
    <w:p w14:paraId="7EFD1320" w14:textId="1D23F21E" w:rsidR="00A80CD5" w:rsidRPr="00A80CD5" w:rsidRDefault="00A80CD5" w:rsidP="00A80CD5">
      <w:pPr>
        <w:pStyle w:val="p1a"/>
      </w:pPr>
    </w:p>
    <w:sectPr w:rsidR="00A80CD5" w:rsidRPr="00A80CD5" w:rsidSect="009F7FCE">
      <w:headerReference w:type="even" r:id="rId10"/>
      <w:headerReference w:type="default" r:id="rId11"/>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B4AE" w14:textId="77777777" w:rsidR="0027059D" w:rsidRDefault="0027059D">
      <w:r>
        <w:separator/>
      </w:r>
    </w:p>
  </w:endnote>
  <w:endnote w:type="continuationSeparator" w:id="0">
    <w:p w14:paraId="64178972" w14:textId="77777777" w:rsidR="0027059D" w:rsidRDefault="0027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6E63" w14:textId="77777777" w:rsidR="0027059D" w:rsidRDefault="0027059D" w:rsidP="009F7FCE">
      <w:pPr>
        <w:ind w:firstLine="0"/>
      </w:pPr>
      <w:r>
        <w:separator/>
      </w:r>
    </w:p>
  </w:footnote>
  <w:footnote w:type="continuationSeparator" w:id="0">
    <w:p w14:paraId="4F0A970C" w14:textId="77777777" w:rsidR="0027059D" w:rsidRDefault="0027059D"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A004" w14:textId="77777777" w:rsidR="009B2539" w:rsidRDefault="009B2539" w:rsidP="00F321B4">
    <w:pPr>
      <w:pStyle w:val="Header"/>
    </w:pPr>
    <w:r>
      <w:fldChar w:fldCharType="begin"/>
    </w:r>
    <w:r>
      <w:instrText>PAGE   \* MERGEFORMAT</w:instrText>
    </w:r>
    <w:r>
      <w:fldChar w:fldCharType="separate"/>
    </w:r>
    <w:r w:rsidR="00771DB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6887"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1FBF1F07"/>
    <w:multiLevelType w:val="multilevel"/>
    <w:tmpl w:val="2F0EB152"/>
    <w:lvl w:ilvl="0">
      <w:start w:val="3"/>
      <w:numFmt w:val="decimal"/>
      <w:lvlText w:val="%1."/>
      <w:lvlJc w:val="left"/>
      <w:pPr>
        <w:ind w:left="1070" w:hanging="319"/>
      </w:pPr>
      <w:rPr>
        <w:rFonts w:hint="default"/>
        <w:b/>
        <w:bCs/>
        <w:w w:val="99"/>
        <w:sz w:val="20"/>
        <w:szCs w:val="20"/>
        <w:lang w:val="en-US" w:eastAsia="en-US" w:bidi="ar-SA"/>
      </w:rPr>
    </w:lvl>
    <w:lvl w:ilvl="1">
      <w:start w:val="1"/>
      <w:numFmt w:val="decimal"/>
      <w:lvlText w:val="%1.%2"/>
      <w:lvlJc w:val="left"/>
      <w:pPr>
        <w:ind w:left="1166" w:hanging="415"/>
      </w:pPr>
      <w:rPr>
        <w:rFonts w:ascii="Times New Roman" w:eastAsia="Times New Roman" w:hAnsi="Times New Roman" w:cs="Times New Roman" w:hint="default"/>
        <w:b/>
        <w:bCs/>
        <w:spacing w:val="-1"/>
        <w:w w:val="99"/>
        <w:sz w:val="20"/>
        <w:szCs w:val="20"/>
        <w:lang w:val="en-US" w:eastAsia="en-US" w:bidi="ar-SA"/>
      </w:rPr>
    </w:lvl>
    <w:lvl w:ilvl="2">
      <w:numFmt w:val="bullet"/>
      <w:lvlText w:val="•"/>
      <w:lvlJc w:val="left"/>
      <w:pPr>
        <w:ind w:left="1896" w:hanging="415"/>
      </w:pPr>
      <w:rPr>
        <w:rFonts w:hint="default"/>
        <w:lang w:val="en-US" w:eastAsia="en-US" w:bidi="ar-SA"/>
      </w:rPr>
    </w:lvl>
    <w:lvl w:ilvl="3">
      <w:numFmt w:val="bullet"/>
      <w:lvlText w:val="•"/>
      <w:lvlJc w:val="left"/>
      <w:pPr>
        <w:ind w:left="2632" w:hanging="415"/>
      </w:pPr>
      <w:rPr>
        <w:rFonts w:hint="default"/>
        <w:lang w:val="en-US" w:eastAsia="en-US" w:bidi="ar-SA"/>
      </w:rPr>
    </w:lvl>
    <w:lvl w:ilvl="4">
      <w:numFmt w:val="bullet"/>
      <w:lvlText w:val="•"/>
      <w:lvlJc w:val="left"/>
      <w:pPr>
        <w:ind w:left="3369" w:hanging="415"/>
      </w:pPr>
      <w:rPr>
        <w:rFonts w:hint="default"/>
        <w:lang w:val="en-US" w:eastAsia="en-US" w:bidi="ar-SA"/>
      </w:rPr>
    </w:lvl>
    <w:lvl w:ilvl="5">
      <w:numFmt w:val="bullet"/>
      <w:lvlText w:val="•"/>
      <w:lvlJc w:val="left"/>
      <w:pPr>
        <w:ind w:left="4105" w:hanging="415"/>
      </w:pPr>
      <w:rPr>
        <w:rFonts w:hint="default"/>
        <w:lang w:val="en-US" w:eastAsia="en-US" w:bidi="ar-SA"/>
      </w:rPr>
    </w:lvl>
    <w:lvl w:ilvl="6">
      <w:numFmt w:val="bullet"/>
      <w:lvlText w:val="•"/>
      <w:lvlJc w:val="left"/>
      <w:pPr>
        <w:ind w:left="4841" w:hanging="415"/>
      </w:pPr>
      <w:rPr>
        <w:rFonts w:hint="default"/>
        <w:lang w:val="en-US" w:eastAsia="en-US" w:bidi="ar-SA"/>
      </w:rPr>
    </w:lvl>
    <w:lvl w:ilvl="7">
      <w:numFmt w:val="bullet"/>
      <w:lvlText w:val="•"/>
      <w:lvlJc w:val="left"/>
      <w:pPr>
        <w:ind w:left="5578" w:hanging="415"/>
      </w:pPr>
      <w:rPr>
        <w:rFonts w:hint="default"/>
        <w:lang w:val="en-US" w:eastAsia="en-US" w:bidi="ar-SA"/>
      </w:rPr>
    </w:lvl>
    <w:lvl w:ilvl="8">
      <w:numFmt w:val="bullet"/>
      <w:lvlText w:val="•"/>
      <w:lvlJc w:val="left"/>
      <w:pPr>
        <w:ind w:left="6314" w:hanging="415"/>
      </w:pPr>
      <w:rPr>
        <w:rFonts w:hint="default"/>
        <w:lang w:val="en-US" w:eastAsia="en-US" w:bidi="ar-SA"/>
      </w:rPr>
    </w:lvl>
  </w:abstractNum>
  <w:abstractNum w:abstractNumId="2" w15:restartNumberingAfterBreak="0">
    <w:nsid w:val="459775F7"/>
    <w:multiLevelType w:val="hybridMultilevel"/>
    <w:tmpl w:val="FE1AB4F2"/>
    <w:lvl w:ilvl="0" w:tplc="4B66E698">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664376D"/>
    <w:multiLevelType w:val="multilevel"/>
    <w:tmpl w:val="B748DCAC"/>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4"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5"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4"/>
  </w:num>
  <w:num w:numId="4">
    <w:abstractNumId w:val="4"/>
  </w:num>
  <w:num w:numId="5">
    <w:abstractNumId w:val="6"/>
  </w:num>
  <w:num w:numId="6">
    <w:abstractNumId w:val="6"/>
  </w:num>
  <w:num w:numId="7">
    <w:abstractNumId w:val="5"/>
  </w:num>
  <w:num w:numId="8">
    <w:abstractNumId w:val="7"/>
  </w:num>
  <w:num w:numId="9">
    <w:abstractNumId w:val="7"/>
  </w:num>
  <w:num w:numId="10">
    <w:abstractNumId w:val="1"/>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8228A"/>
    <w:rsid w:val="001712F9"/>
    <w:rsid w:val="001A02F0"/>
    <w:rsid w:val="0027059D"/>
    <w:rsid w:val="002D48C5"/>
    <w:rsid w:val="004D42F0"/>
    <w:rsid w:val="004F7988"/>
    <w:rsid w:val="005078A9"/>
    <w:rsid w:val="00540DE3"/>
    <w:rsid w:val="00552A7B"/>
    <w:rsid w:val="005A08C4"/>
    <w:rsid w:val="005C1504"/>
    <w:rsid w:val="005D7A88"/>
    <w:rsid w:val="00690C1E"/>
    <w:rsid w:val="00693BBB"/>
    <w:rsid w:val="006B231F"/>
    <w:rsid w:val="006B3529"/>
    <w:rsid w:val="006F30AE"/>
    <w:rsid w:val="00771DBF"/>
    <w:rsid w:val="008F2D4C"/>
    <w:rsid w:val="00910CB9"/>
    <w:rsid w:val="009930E4"/>
    <w:rsid w:val="009B2539"/>
    <w:rsid w:val="009F7FCE"/>
    <w:rsid w:val="00A80CD5"/>
    <w:rsid w:val="00B23481"/>
    <w:rsid w:val="00B40464"/>
    <w:rsid w:val="00C439A8"/>
    <w:rsid w:val="00D64B90"/>
    <w:rsid w:val="00DC2CA9"/>
    <w:rsid w:val="00E43FC3"/>
    <w:rsid w:val="00E603C7"/>
    <w:rsid w:val="00EA6A29"/>
    <w:rsid w:val="00F32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0A5DC0"/>
  <w15:docId w15:val="{5473BD7B-5393-489E-8C33-75F9711D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paragraph" w:styleId="Heading5">
    <w:name w:val="heading 5"/>
    <w:basedOn w:val="Normal"/>
    <w:next w:val="Normal"/>
    <w:link w:val="Heading5Char"/>
    <w:semiHidden/>
    <w:unhideWhenUsed/>
    <w:rsid w:val="006F30A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BalloonText">
    <w:name w:val="Balloon Text"/>
    <w:basedOn w:val="Normal"/>
    <w:link w:val="BalloonTextChar"/>
    <w:semiHidden/>
    <w:rsid w:val="00771DB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71DBF"/>
    <w:rPr>
      <w:rFonts w:ascii="Tahoma" w:hAnsi="Tahoma" w:cs="Tahoma"/>
      <w:sz w:val="16"/>
      <w:szCs w:val="16"/>
    </w:rPr>
  </w:style>
  <w:style w:type="paragraph" w:styleId="BodyText">
    <w:name w:val="Body Text"/>
    <w:basedOn w:val="Normal"/>
    <w:link w:val="BodyTextChar"/>
    <w:uiPriority w:val="1"/>
    <w:qFormat/>
    <w:rsid w:val="00552A7B"/>
    <w:pPr>
      <w:widowControl w:val="0"/>
      <w:overflowPunct/>
      <w:adjustRightInd/>
      <w:spacing w:line="240" w:lineRule="auto"/>
      <w:ind w:firstLine="0"/>
      <w:textAlignment w:val="auto"/>
    </w:pPr>
    <w:rPr>
      <w:lang w:val="en"/>
    </w:rPr>
  </w:style>
  <w:style w:type="character" w:customStyle="1" w:styleId="BodyTextChar">
    <w:name w:val="Body Text Char"/>
    <w:basedOn w:val="DefaultParagraphFont"/>
    <w:link w:val="BodyText"/>
    <w:uiPriority w:val="1"/>
    <w:rsid w:val="00552A7B"/>
    <w:rPr>
      <w:lang w:val="en"/>
    </w:rPr>
  </w:style>
  <w:style w:type="paragraph" w:styleId="ListParagraph">
    <w:name w:val="List Paragraph"/>
    <w:basedOn w:val="Normal"/>
    <w:rsid w:val="004F7988"/>
    <w:pPr>
      <w:ind w:left="720"/>
      <w:contextualSpacing/>
    </w:pPr>
  </w:style>
  <w:style w:type="character" w:customStyle="1" w:styleId="Heading5Char">
    <w:name w:val="Heading 5 Char"/>
    <w:basedOn w:val="DefaultParagraphFont"/>
    <w:link w:val="Heading5"/>
    <w:semiHidden/>
    <w:rsid w:val="006F30AE"/>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5078A9"/>
    <w:rPr>
      <w:color w:val="605E5C"/>
      <w:shd w:val="clear" w:color="auto" w:fill="E1DFDD"/>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armanto@unesa.ac.id"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C471509-C5EC-4763-9CF8-3C63E8C9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4564</Words>
  <Characters>26015</Characters>
  <Application>Microsoft Office Word</Application>
  <DocSecurity>0</DocSecurity>
  <Lines>216</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Asus A416F</cp:lastModifiedBy>
  <cp:revision>7</cp:revision>
  <dcterms:created xsi:type="dcterms:W3CDTF">2023-09-12T00:41:00Z</dcterms:created>
  <dcterms:modified xsi:type="dcterms:W3CDTF">2023-09-14T22:32:00Z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92fbfaa4-8c1f-344c-af2f-348c74294b38</vt:lpwstr>
  </property>
  <property fmtid="{D5CDD505-2E9C-101B-9397-08002B2CF9AE}" pid="25" name="GrammarlyDocumentId">
    <vt:lpwstr>8703b979b934c9f0dc787441e4a62602f7c0ffef96bddf12f47d14fd2c0b90ba</vt:lpwstr>
  </property>
</Properties>
</file>